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5474" w14:textId="5C303B20" w:rsidR="004F64A5" w:rsidRPr="00976655" w:rsidRDefault="004F64A5" w:rsidP="000A471E">
      <w:pPr>
        <w:jc w:val="center"/>
      </w:pPr>
      <w:bookmarkStart w:id="0" w:name="_Toc27167699"/>
      <w:r w:rsidRPr="00976655">
        <w:rPr>
          <w:noProof/>
        </w:rPr>
        <w:drawing>
          <wp:inline distT="0" distB="0" distL="0" distR="0" wp14:anchorId="70510FBB" wp14:editId="47211BB1">
            <wp:extent cx="1097280" cy="8534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853440"/>
                    </a:xfrm>
                    <a:prstGeom prst="rect">
                      <a:avLst/>
                    </a:prstGeom>
                    <a:noFill/>
                  </pic:spPr>
                </pic:pic>
              </a:graphicData>
            </a:graphic>
          </wp:inline>
        </w:drawing>
      </w:r>
    </w:p>
    <w:p w14:paraId="66C88F6E" w14:textId="77777777" w:rsidR="004F64A5" w:rsidRPr="00976655" w:rsidRDefault="004F64A5" w:rsidP="008D3BD2">
      <w:pPr>
        <w:spacing w:line="276" w:lineRule="auto"/>
        <w:jc w:val="both"/>
        <w:rPr>
          <w:b/>
          <w:color w:val="373A3C"/>
        </w:rPr>
      </w:pPr>
    </w:p>
    <w:p w14:paraId="63D1BE3B" w14:textId="73F2D8BA" w:rsidR="00EE52D1" w:rsidRDefault="004F64A5" w:rsidP="000A471E">
      <w:pPr>
        <w:spacing w:line="276" w:lineRule="auto"/>
        <w:jc w:val="center"/>
        <w:rPr>
          <w:b/>
          <w:color w:val="373A3C"/>
        </w:rPr>
      </w:pPr>
      <w:r w:rsidRPr="00976655">
        <w:rPr>
          <w:b/>
          <w:color w:val="373A3C"/>
        </w:rPr>
        <w:t>Federal Government of Somalia</w:t>
      </w:r>
    </w:p>
    <w:p w14:paraId="2E9BA5B3" w14:textId="4671409F" w:rsidR="004F64A5" w:rsidRPr="00976655" w:rsidRDefault="004F64A5" w:rsidP="000A471E">
      <w:pPr>
        <w:spacing w:line="276" w:lineRule="auto"/>
        <w:jc w:val="center"/>
        <w:rPr>
          <w:b/>
          <w:color w:val="373A3C"/>
        </w:rPr>
      </w:pPr>
      <w:r w:rsidRPr="00976655">
        <w:rPr>
          <w:b/>
          <w:color w:val="373A3C"/>
        </w:rPr>
        <w:t>Ministry of Energy and Water Resources</w:t>
      </w:r>
    </w:p>
    <w:p w14:paraId="24307F86" w14:textId="77777777" w:rsidR="004F64A5" w:rsidRPr="00976655" w:rsidRDefault="004F64A5" w:rsidP="000A471E">
      <w:pPr>
        <w:spacing w:before="120" w:after="120" w:line="276" w:lineRule="auto"/>
        <w:jc w:val="center"/>
        <w:rPr>
          <w:b/>
          <w:color w:val="373A3C"/>
        </w:rPr>
      </w:pPr>
      <w:r w:rsidRPr="00976655">
        <w:rPr>
          <w:b/>
          <w:color w:val="373A3C"/>
        </w:rPr>
        <w:t>TERMS OF REFERENCE</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6236"/>
      </w:tblGrid>
      <w:tr w:rsidR="004F64A5" w:rsidRPr="00976655" w14:paraId="54B4DED1" w14:textId="77777777" w:rsidTr="001D1453">
        <w:tc>
          <w:tcPr>
            <w:tcW w:w="1665" w:type="pct"/>
            <w:shd w:val="clear" w:color="auto" w:fill="auto"/>
          </w:tcPr>
          <w:p w14:paraId="7398F3B2" w14:textId="77777777" w:rsidR="004F64A5" w:rsidRPr="00976655" w:rsidRDefault="004F64A5" w:rsidP="008D3BD2">
            <w:pPr>
              <w:spacing w:line="276" w:lineRule="auto"/>
              <w:jc w:val="both"/>
              <w:rPr>
                <w:b/>
                <w:color w:val="373A3C"/>
              </w:rPr>
            </w:pPr>
            <w:r w:rsidRPr="00976655">
              <w:rPr>
                <w:b/>
                <w:color w:val="373A3C"/>
              </w:rPr>
              <w:t>Country:</w:t>
            </w:r>
          </w:p>
        </w:tc>
        <w:tc>
          <w:tcPr>
            <w:tcW w:w="3335" w:type="pct"/>
            <w:shd w:val="clear" w:color="auto" w:fill="auto"/>
          </w:tcPr>
          <w:p w14:paraId="4DC9E076" w14:textId="77777777" w:rsidR="004F64A5" w:rsidRPr="00976655" w:rsidRDefault="004F64A5" w:rsidP="008D3BD2">
            <w:pPr>
              <w:spacing w:line="276" w:lineRule="auto"/>
              <w:jc w:val="both"/>
              <w:rPr>
                <w:bCs/>
                <w:color w:val="373A3C"/>
              </w:rPr>
            </w:pPr>
            <w:r w:rsidRPr="00976655">
              <w:rPr>
                <w:bCs/>
                <w:color w:val="373A3C"/>
              </w:rPr>
              <w:t>Federal Government of Somalia</w:t>
            </w:r>
          </w:p>
        </w:tc>
      </w:tr>
      <w:tr w:rsidR="004F64A5" w:rsidRPr="00976655" w14:paraId="6958D45E" w14:textId="77777777" w:rsidTr="001D1453">
        <w:tc>
          <w:tcPr>
            <w:tcW w:w="1665" w:type="pct"/>
            <w:shd w:val="clear" w:color="auto" w:fill="auto"/>
          </w:tcPr>
          <w:p w14:paraId="39D4CA7F" w14:textId="77777777" w:rsidR="004F64A5" w:rsidRPr="00976655" w:rsidRDefault="004F64A5" w:rsidP="008D3BD2">
            <w:pPr>
              <w:spacing w:line="276" w:lineRule="auto"/>
              <w:jc w:val="both"/>
              <w:rPr>
                <w:b/>
                <w:color w:val="373A3C"/>
              </w:rPr>
            </w:pPr>
            <w:r w:rsidRPr="00976655">
              <w:rPr>
                <w:b/>
                <w:color w:val="373A3C"/>
              </w:rPr>
              <w:t>Name of Project:</w:t>
            </w:r>
          </w:p>
        </w:tc>
        <w:tc>
          <w:tcPr>
            <w:tcW w:w="3335" w:type="pct"/>
            <w:shd w:val="clear" w:color="auto" w:fill="auto"/>
          </w:tcPr>
          <w:p w14:paraId="33694A6C" w14:textId="66CBF79C" w:rsidR="004F64A5" w:rsidRPr="00976655" w:rsidRDefault="004F64A5" w:rsidP="008D3BD2">
            <w:pPr>
              <w:spacing w:line="276" w:lineRule="auto"/>
              <w:jc w:val="both"/>
              <w:rPr>
                <w:bCs/>
                <w:color w:val="373A3C"/>
                <w:highlight w:val="yellow"/>
              </w:rPr>
            </w:pPr>
            <w:r w:rsidRPr="00976655">
              <w:rPr>
                <w:bCs/>
                <w:color w:val="373A3C"/>
              </w:rPr>
              <w:t>Somali E</w:t>
            </w:r>
            <w:r w:rsidR="00EE329A" w:rsidRPr="00976655">
              <w:rPr>
                <w:bCs/>
                <w:color w:val="373A3C"/>
              </w:rPr>
              <w:t>lectricity</w:t>
            </w:r>
            <w:r w:rsidRPr="00976655">
              <w:rPr>
                <w:bCs/>
                <w:color w:val="373A3C"/>
              </w:rPr>
              <w:t xml:space="preserve"> Sector Recovery Project (SESRP)</w:t>
            </w:r>
          </w:p>
        </w:tc>
      </w:tr>
      <w:tr w:rsidR="004F64A5" w:rsidRPr="00976655" w14:paraId="19E6BD89" w14:textId="77777777" w:rsidTr="001D1453">
        <w:tc>
          <w:tcPr>
            <w:tcW w:w="1665" w:type="pct"/>
            <w:shd w:val="clear" w:color="auto" w:fill="auto"/>
          </w:tcPr>
          <w:p w14:paraId="0FD810C3" w14:textId="77777777" w:rsidR="004F64A5" w:rsidRPr="00976655" w:rsidRDefault="004F64A5" w:rsidP="008D3BD2">
            <w:pPr>
              <w:spacing w:line="276" w:lineRule="auto"/>
              <w:jc w:val="both"/>
              <w:rPr>
                <w:b/>
                <w:color w:val="373A3C"/>
              </w:rPr>
            </w:pPr>
            <w:r w:rsidRPr="00976655">
              <w:rPr>
                <w:b/>
                <w:color w:val="373A3C"/>
              </w:rPr>
              <w:t>Project ID:</w:t>
            </w:r>
          </w:p>
        </w:tc>
        <w:tc>
          <w:tcPr>
            <w:tcW w:w="3335" w:type="pct"/>
            <w:shd w:val="clear" w:color="auto" w:fill="auto"/>
          </w:tcPr>
          <w:p w14:paraId="6F07D0EB" w14:textId="460573CE" w:rsidR="004F64A5" w:rsidRPr="00976655" w:rsidRDefault="004F64A5" w:rsidP="008D3BD2">
            <w:pPr>
              <w:spacing w:line="276" w:lineRule="auto"/>
              <w:jc w:val="both"/>
              <w:rPr>
                <w:bCs/>
                <w:color w:val="373A3C"/>
              </w:rPr>
            </w:pPr>
            <w:r w:rsidRPr="00976655">
              <w:rPr>
                <w:bCs/>
                <w:color w:val="373A3C"/>
              </w:rPr>
              <w:t>P173088</w:t>
            </w:r>
          </w:p>
        </w:tc>
      </w:tr>
      <w:tr w:rsidR="004F64A5" w:rsidRPr="00976655" w14:paraId="3A176831" w14:textId="77777777" w:rsidTr="001D1453">
        <w:tc>
          <w:tcPr>
            <w:tcW w:w="1665" w:type="pct"/>
            <w:shd w:val="clear" w:color="auto" w:fill="auto"/>
          </w:tcPr>
          <w:p w14:paraId="4401F57B" w14:textId="77777777" w:rsidR="004F64A5" w:rsidRPr="00976655" w:rsidRDefault="004F64A5" w:rsidP="008D3BD2">
            <w:pPr>
              <w:spacing w:line="276" w:lineRule="auto"/>
              <w:jc w:val="both"/>
              <w:rPr>
                <w:b/>
                <w:color w:val="373A3C"/>
              </w:rPr>
            </w:pPr>
            <w:r w:rsidRPr="00976655">
              <w:rPr>
                <w:b/>
                <w:color w:val="373A3C"/>
              </w:rPr>
              <w:t>Assignment Title:</w:t>
            </w:r>
          </w:p>
        </w:tc>
        <w:tc>
          <w:tcPr>
            <w:tcW w:w="3335" w:type="pct"/>
            <w:shd w:val="clear" w:color="auto" w:fill="auto"/>
          </w:tcPr>
          <w:p w14:paraId="1A3338D1" w14:textId="09CEC7F2" w:rsidR="004F64A5" w:rsidRPr="00976655" w:rsidRDefault="002A2ABA" w:rsidP="008D3BD2">
            <w:pPr>
              <w:spacing w:line="276" w:lineRule="auto"/>
              <w:jc w:val="both"/>
              <w:rPr>
                <w:bCs/>
                <w:color w:val="373A3C"/>
              </w:rPr>
            </w:pPr>
            <w:r w:rsidRPr="00976655">
              <w:rPr>
                <w:bCs/>
                <w:color w:val="373A3C"/>
              </w:rPr>
              <w:t xml:space="preserve">Economic </w:t>
            </w:r>
            <w:r w:rsidR="00F61E23" w:rsidRPr="00976655">
              <w:rPr>
                <w:bCs/>
                <w:color w:val="373A3C"/>
              </w:rPr>
              <w:t>Regulation</w:t>
            </w:r>
            <w:r w:rsidR="00A6038E" w:rsidRPr="00976655">
              <w:rPr>
                <w:bCs/>
                <w:color w:val="373A3C"/>
              </w:rPr>
              <w:t xml:space="preserve"> Advisor </w:t>
            </w:r>
          </w:p>
        </w:tc>
      </w:tr>
      <w:tr w:rsidR="004F64A5" w:rsidRPr="00976655" w14:paraId="646CA3CF" w14:textId="77777777" w:rsidTr="001D1453">
        <w:tc>
          <w:tcPr>
            <w:tcW w:w="1665" w:type="pct"/>
            <w:tcBorders>
              <w:top w:val="dotted" w:sz="4" w:space="0" w:color="auto"/>
              <w:left w:val="dotted" w:sz="4" w:space="0" w:color="auto"/>
              <w:bottom w:val="dotted" w:sz="4" w:space="0" w:color="auto"/>
              <w:right w:val="dotted" w:sz="4" w:space="0" w:color="auto"/>
            </w:tcBorders>
            <w:shd w:val="clear" w:color="auto" w:fill="auto"/>
          </w:tcPr>
          <w:p w14:paraId="2F04F778" w14:textId="77777777" w:rsidR="004F64A5" w:rsidRPr="00976655" w:rsidRDefault="004F64A5" w:rsidP="008D3BD2">
            <w:pPr>
              <w:spacing w:line="276" w:lineRule="auto"/>
              <w:jc w:val="both"/>
              <w:rPr>
                <w:b/>
                <w:color w:val="373A3C"/>
              </w:rPr>
            </w:pPr>
            <w:r w:rsidRPr="00976655">
              <w:rPr>
                <w:b/>
                <w:color w:val="373A3C"/>
              </w:rPr>
              <w:t>Type of Appointment:</w:t>
            </w:r>
          </w:p>
        </w:tc>
        <w:tc>
          <w:tcPr>
            <w:tcW w:w="3335" w:type="pct"/>
            <w:tcBorders>
              <w:top w:val="dotted" w:sz="4" w:space="0" w:color="auto"/>
              <w:left w:val="dotted" w:sz="4" w:space="0" w:color="auto"/>
              <w:bottom w:val="dotted" w:sz="4" w:space="0" w:color="auto"/>
              <w:right w:val="dotted" w:sz="4" w:space="0" w:color="auto"/>
            </w:tcBorders>
            <w:shd w:val="clear" w:color="auto" w:fill="auto"/>
          </w:tcPr>
          <w:p w14:paraId="6C967DFF" w14:textId="1F777AF9" w:rsidR="004F64A5" w:rsidRPr="00976655" w:rsidRDefault="004F64A5" w:rsidP="008D3BD2">
            <w:pPr>
              <w:spacing w:line="276" w:lineRule="auto"/>
              <w:jc w:val="both"/>
              <w:rPr>
                <w:bCs/>
                <w:color w:val="373A3C"/>
              </w:rPr>
            </w:pPr>
            <w:r w:rsidRPr="00976655">
              <w:rPr>
                <w:bCs/>
                <w:color w:val="373A3C"/>
              </w:rPr>
              <w:t>Individual Consultant</w:t>
            </w:r>
          </w:p>
        </w:tc>
      </w:tr>
      <w:tr w:rsidR="004F64A5" w:rsidRPr="00976655" w14:paraId="2A2DED8C" w14:textId="77777777" w:rsidTr="001D1453">
        <w:tc>
          <w:tcPr>
            <w:tcW w:w="1665" w:type="pct"/>
            <w:shd w:val="clear" w:color="auto" w:fill="auto"/>
          </w:tcPr>
          <w:p w14:paraId="36D525ED" w14:textId="77777777" w:rsidR="004F64A5" w:rsidRPr="00976655" w:rsidRDefault="004F64A5" w:rsidP="008D3BD2">
            <w:pPr>
              <w:spacing w:line="276" w:lineRule="auto"/>
              <w:jc w:val="both"/>
              <w:rPr>
                <w:b/>
                <w:color w:val="373A3C"/>
              </w:rPr>
            </w:pPr>
            <w:r w:rsidRPr="00976655">
              <w:rPr>
                <w:b/>
                <w:color w:val="373A3C"/>
              </w:rPr>
              <w:t>Reference No.:</w:t>
            </w:r>
          </w:p>
        </w:tc>
        <w:tc>
          <w:tcPr>
            <w:tcW w:w="3335" w:type="pct"/>
            <w:shd w:val="clear" w:color="auto" w:fill="auto"/>
          </w:tcPr>
          <w:p w14:paraId="2A1CB3E4" w14:textId="2BE7751A" w:rsidR="004F64A5" w:rsidRPr="00976655" w:rsidRDefault="004F64A5" w:rsidP="008D3BD2">
            <w:pPr>
              <w:spacing w:line="276" w:lineRule="auto"/>
              <w:jc w:val="both"/>
              <w:rPr>
                <w:bCs/>
                <w:color w:val="373A3C"/>
              </w:rPr>
            </w:pPr>
            <w:r w:rsidRPr="00976655">
              <w:rPr>
                <w:bCs/>
                <w:color w:val="373A3C"/>
              </w:rPr>
              <w:t>SO-</w:t>
            </w:r>
            <w:r w:rsidRPr="00976655">
              <w:t xml:space="preserve"> </w:t>
            </w:r>
            <w:r w:rsidR="009B66CE" w:rsidRPr="00976655">
              <w:rPr>
                <w:bCs/>
                <w:color w:val="373A3C"/>
              </w:rPr>
              <w:t>MOEWR-</w:t>
            </w:r>
            <w:r w:rsidR="005D054F">
              <w:rPr>
                <w:bCs/>
                <w:color w:val="373A3C"/>
              </w:rPr>
              <w:t>437018</w:t>
            </w:r>
            <w:r w:rsidRPr="00976655">
              <w:rPr>
                <w:bCs/>
                <w:color w:val="373A3C"/>
              </w:rPr>
              <w:t>-INDV</w:t>
            </w:r>
          </w:p>
        </w:tc>
      </w:tr>
      <w:tr w:rsidR="004F64A5" w:rsidRPr="00976655" w14:paraId="164C1C6E" w14:textId="77777777" w:rsidTr="001D1453">
        <w:tc>
          <w:tcPr>
            <w:tcW w:w="1665" w:type="pct"/>
            <w:shd w:val="clear" w:color="auto" w:fill="auto"/>
          </w:tcPr>
          <w:p w14:paraId="3EFEE4C8" w14:textId="77777777" w:rsidR="004F64A5" w:rsidRPr="00976655" w:rsidRDefault="004F64A5" w:rsidP="008D3BD2">
            <w:pPr>
              <w:spacing w:line="276" w:lineRule="auto"/>
              <w:jc w:val="both"/>
              <w:rPr>
                <w:b/>
                <w:color w:val="373A3C"/>
              </w:rPr>
            </w:pPr>
            <w:r w:rsidRPr="00976655">
              <w:rPr>
                <w:b/>
                <w:color w:val="373A3C"/>
              </w:rPr>
              <w:t>Place of Assignment:</w:t>
            </w:r>
          </w:p>
        </w:tc>
        <w:tc>
          <w:tcPr>
            <w:tcW w:w="3335" w:type="pct"/>
            <w:shd w:val="clear" w:color="auto" w:fill="auto"/>
          </w:tcPr>
          <w:p w14:paraId="539BAD17" w14:textId="77777777" w:rsidR="004F64A5" w:rsidRPr="00976655" w:rsidRDefault="004F64A5" w:rsidP="008D3BD2">
            <w:pPr>
              <w:spacing w:line="276" w:lineRule="auto"/>
              <w:jc w:val="both"/>
              <w:rPr>
                <w:bCs/>
                <w:color w:val="373A3C"/>
              </w:rPr>
            </w:pPr>
            <w:r w:rsidRPr="00976655">
              <w:rPr>
                <w:bCs/>
                <w:color w:val="373A3C"/>
              </w:rPr>
              <w:t>Mogadishu, Somalia</w:t>
            </w:r>
          </w:p>
        </w:tc>
      </w:tr>
    </w:tbl>
    <w:p w14:paraId="45F5F589" w14:textId="5F125EE0" w:rsidR="00B60C5F" w:rsidRPr="00976655" w:rsidRDefault="00B60C5F" w:rsidP="008D3BD2">
      <w:pPr>
        <w:pStyle w:val="Default"/>
        <w:jc w:val="both"/>
        <w:rPr>
          <w:rFonts w:ascii="Times New Roman" w:hAnsi="Times New Roman" w:cs="Times New Roman"/>
          <w:b/>
          <w:bCs/>
        </w:rPr>
      </w:pPr>
    </w:p>
    <w:p w14:paraId="3D6401C8" w14:textId="0CCF83E5" w:rsidR="009D5C60" w:rsidRPr="00976655" w:rsidRDefault="009B4A95" w:rsidP="008D3BD2">
      <w:pPr>
        <w:numPr>
          <w:ilvl w:val="0"/>
          <w:numId w:val="1"/>
        </w:numPr>
        <w:spacing w:after="160" w:line="276" w:lineRule="auto"/>
        <w:jc w:val="both"/>
        <w:rPr>
          <w:b/>
          <w:bCs/>
          <w:color w:val="373A3C"/>
        </w:rPr>
      </w:pPr>
      <w:r w:rsidRPr="00976655">
        <w:rPr>
          <w:b/>
          <w:bCs/>
          <w:color w:val="373A3C"/>
        </w:rPr>
        <w:t>Background</w:t>
      </w:r>
      <w:r w:rsidR="0038386D" w:rsidRPr="00976655">
        <w:rPr>
          <w:b/>
          <w:bCs/>
          <w:color w:val="373A3C"/>
        </w:rPr>
        <w:t xml:space="preserve">: </w:t>
      </w:r>
    </w:p>
    <w:p w14:paraId="21343D1D" w14:textId="05301567" w:rsidR="00604C42" w:rsidRPr="00976655" w:rsidRDefault="00D64EA0" w:rsidP="00530B38">
      <w:pPr>
        <w:spacing w:after="120" w:line="240" w:lineRule="atLeast"/>
        <w:jc w:val="both"/>
        <w:rPr>
          <w:rFonts w:eastAsia="Times New Roman"/>
          <w:color w:val="000000" w:themeColor="text1"/>
        </w:rPr>
      </w:pPr>
      <w:r w:rsidRPr="00976655">
        <w:rPr>
          <w:rFonts w:eastAsia="Times New Roman"/>
          <w:color w:val="000000" w:themeColor="text1"/>
        </w:rPr>
        <w:t xml:space="preserve">The </w:t>
      </w:r>
      <w:r w:rsidRPr="00976655">
        <w:rPr>
          <w:rFonts w:eastAsia="Times New Roman"/>
        </w:rPr>
        <w:t>Federal Government of Somalia</w:t>
      </w:r>
      <w:r w:rsidRPr="00976655">
        <w:rPr>
          <w:rFonts w:eastAsia="Times New Roman"/>
          <w:color w:val="000000" w:themeColor="text1"/>
        </w:rPr>
        <w:t xml:space="preserve"> </w:t>
      </w:r>
      <w:r w:rsidR="00B7457D">
        <w:rPr>
          <w:rFonts w:eastAsia="Times New Roman"/>
          <w:color w:val="000000" w:themeColor="text1"/>
        </w:rPr>
        <w:t>FGS</w:t>
      </w:r>
      <w:r w:rsidRPr="00976655">
        <w:rPr>
          <w:rFonts w:eastAsia="Times New Roman"/>
          <w:color w:val="000000" w:themeColor="text1"/>
        </w:rPr>
        <w:t xml:space="preserve">) </w:t>
      </w:r>
      <w:r w:rsidR="00B7457D">
        <w:rPr>
          <w:rFonts w:eastAsia="Times New Roman"/>
          <w:color w:val="000000" w:themeColor="text1"/>
        </w:rPr>
        <w:t>has a received</w:t>
      </w:r>
      <w:r w:rsidRPr="00976655">
        <w:rPr>
          <w:rFonts w:eastAsia="Times New Roman"/>
          <w:color w:val="000000" w:themeColor="text1"/>
        </w:rPr>
        <w:t xml:space="preserve"> a grant from The World Bank to implement</w:t>
      </w:r>
      <w:r w:rsidR="001D1453" w:rsidRPr="00976655">
        <w:rPr>
          <w:rFonts w:eastAsia="Times New Roman"/>
          <w:color w:val="000000" w:themeColor="text1"/>
        </w:rPr>
        <w:t xml:space="preserve"> the </w:t>
      </w:r>
      <w:r w:rsidRPr="00976655">
        <w:rPr>
          <w:rFonts w:eastAsia="Times New Roman"/>
          <w:color w:val="000000" w:themeColor="text1"/>
        </w:rPr>
        <w:t>Somali E</w:t>
      </w:r>
      <w:r w:rsidR="0054163A">
        <w:rPr>
          <w:rFonts w:eastAsia="Times New Roman"/>
          <w:color w:val="000000" w:themeColor="text1"/>
        </w:rPr>
        <w:t>lectricity</w:t>
      </w:r>
      <w:r w:rsidRPr="00976655">
        <w:rPr>
          <w:rFonts w:eastAsia="Times New Roman"/>
          <w:color w:val="000000" w:themeColor="text1"/>
        </w:rPr>
        <w:t xml:space="preserve"> Sector Recovery Project (SESRP). </w:t>
      </w:r>
      <w:r w:rsidRPr="00976655">
        <w:rPr>
          <w:rFonts w:eastAsia="Times New Roman"/>
          <w:color w:val="000000" w:themeColor="text1"/>
          <w:lang w:eastAsia="en-GB"/>
        </w:rPr>
        <w:t>The Project Development Objective is to increase access</w:t>
      </w:r>
      <w:r w:rsidRPr="00976655">
        <w:rPr>
          <w:rFonts w:eastAsia="Times New Roman"/>
          <w:color w:val="000000" w:themeColor="text1"/>
        </w:rPr>
        <w:t xml:space="preserve"> </w:t>
      </w:r>
      <w:r w:rsidR="0054163A" w:rsidRPr="0054163A">
        <w:rPr>
          <w:rFonts w:eastAsia="Times New Roman"/>
          <w:color w:val="000000" w:themeColor="text1"/>
        </w:rPr>
        <w:t>to lower cost and cleaner electricity supply in the project areas and to reestablish the electricity supply industry</w:t>
      </w:r>
      <w:r w:rsidR="0075790E">
        <w:rPr>
          <w:rFonts w:eastAsia="Times New Roman"/>
          <w:color w:val="000000" w:themeColor="text1"/>
        </w:rPr>
        <w:t>.</w:t>
      </w:r>
      <w:bookmarkStart w:id="1" w:name="_Hlk172198353"/>
      <w:r w:rsidR="00F2114E">
        <w:rPr>
          <w:rFonts w:eastAsia="Times New Roman"/>
          <w:color w:val="000000" w:themeColor="text1"/>
        </w:rPr>
        <w:t xml:space="preserve"> </w:t>
      </w:r>
      <w:bookmarkEnd w:id="1"/>
    </w:p>
    <w:p w14:paraId="221C3A75" w14:textId="73E1B4E6" w:rsidR="00A64AB5" w:rsidRPr="00976655" w:rsidRDefault="00471AC9" w:rsidP="008D3BD2">
      <w:pPr>
        <w:spacing w:before="120" w:after="120" w:line="276" w:lineRule="auto"/>
        <w:jc w:val="both"/>
      </w:pPr>
      <w:r w:rsidRPr="00471AC9">
        <w:t>As part of the re-establishment of the Electricity Supply Industry (ESI)</w:t>
      </w:r>
      <w:r>
        <w:t>,</w:t>
      </w:r>
      <w:r w:rsidRPr="00471AC9">
        <w:t xml:space="preserve"> the FGS has recently enacted Electricity Law and established the National Electricity Authority (NEA). The NEA key mandate is to regulate the electricity sector. In this regard, the MoEWR seeks to apply part of the proceeds of the SERP project to recruit a</w:t>
      </w:r>
      <w:r w:rsidR="00A64AB5">
        <w:t>n Economic Regulation Advisor</w:t>
      </w:r>
      <w:r w:rsidRPr="00471AC9">
        <w:t xml:space="preserve"> to support NEA undertake </w:t>
      </w:r>
      <w:r w:rsidR="00A64AB5">
        <w:t>economic</w:t>
      </w:r>
      <w:r w:rsidRPr="00471AC9">
        <w:t xml:space="preserve"> regulation activities towards the operationalization and implementation of an effective regulatory framework</w:t>
      </w:r>
      <w:r w:rsidR="006D2DF5" w:rsidRPr="00976655">
        <w:t>.</w:t>
      </w:r>
    </w:p>
    <w:p w14:paraId="48D70815" w14:textId="14F931A2" w:rsidR="00AD0395" w:rsidRPr="00976655" w:rsidRDefault="00AD0395" w:rsidP="008D3BD2">
      <w:pPr>
        <w:numPr>
          <w:ilvl w:val="0"/>
          <w:numId w:val="1"/>
        </w:numPr>
        <w:spacing w:after="160" w:line="276" w:lineRule="auto"/>
        <w:jc w:val="both"/>
        <w:rPr>
          <w:b/>
          <w:bCs/>
        </w:rPr>
      </w:pPr>
      <w:r w:rsidRPr="00976655">
        <w:rPr>
          <w:b/>
          <w:bCs/>
        </w:rPr>
        <w:t>Objective of the Assignment</w:t>
      </w:r>
      <w:r w:rsidR="00067536">
        <w:rPr>
          <w:b/>
          <w:bCs/>
        </w:rPr>
        <w:t>:</w:t>
      </w:r>
    </w:p>
    <w:p w14:paraId="3F6AB608" w14:textId="2F105D6E" w:rsidR="00220189" w:rsidRDefault="00FA291D" w:rsidP="00220189">
      <w:pPr>
        <w:spacing w:after="120"/>
        <w:contextualSpacing/>
        <w:jc w:val="both"/>
        <w:rPr>
          <w:bCs/>
          <w:color w:val="000000" w:themeColor="text1"/>
        </w:rPr>
      </w:pPr>
      <w:r w:rsidRPr="00530B38">
        <w:rPr>
          <w:bCs/>
          <w:color w:val="000000" w:themeColor="text1"/>
        </w:rPr>
        <w:t xml:space="preserve">To support </w:t>
      </w:r>
      <w:r w:rsidR="00A26305" w:rsidRPr="00530B38">
        <w:rPr>
          <w:bCs/>
          <w:color w:val="000000" w:themeColor="text1"/>
        </w:rPr>
        <w:t>NEA</w:t>
      </w:r>
      <w:r w:rsidRPr="00530B38">
        <w:rPr>
          <w:bCs/>
          <w:color w:val="000000" w:themeColor="text1"/>
        </w:rPr>
        <w:t xml:space="preserve"> in developing and institutionalizing an effective economic and financial </w:t>
      </w:r>
      <w:r w:rsidR="00FC37AE" w:rsidRPr="00530B38">
        <w:rPr>
          <w:bCs/>
          <w:color w:val="000000" w:themeColor="text1"/>
        </w:rPr>
        <w:t xml:space="preserve">regulatory </w:t>
      </w:r>
      <w:r w:rsidRPr="00530B38">
        <w:rPr>
          <w:bCs/>
          <w:color w:val="000000" w:themeColor="text1"/>
        </w:rPr>
        <w:t>framework to support the sector achiev</w:t>
      </w:r>
      <w:r w:rsidR="00D1000B" w:rsidRPr="00530B38">
        <w:rPr>
          <w:bCs/>
          <w:color w:val="000000" w:themeColor="text1"/>
        </w:rPr>
        <w:t>e</w:t>
      </w:r>
      <w:r w:rsidRPr="00530B38">
        <w:rPr>
          <w:bCs/>
          <w:color w:val="000000" w:themeColor="text1"/>
        </w:rPr>
        <w:t xml:space="preserve"> economic and financial viability in </w:t>
      </w:r>
      <w:r w:rsidR="00D1000B" w:rsidRPr="00530B38">
        <w:rPr>
          <w:bCs/>
          <w:color w:val="000000" w:themeColor="text1"/>
        </w:rPr>
        <w:t xml:space="preserve">the </w:t>
      </w:r>
      <w:r w:rsidRPr="00530B38">
        <w:rPr>
          <w:bCs/>
          <w:color w:val="000000" w:themeColor="text1"/>
        </w:rPr>
        <w:t>electricity service delivery. This includes</w:t>
      </w:r>
      <w:r w:rsidR="00D1000B" w:rsidRPr="00530B38">
        <w:rPr>
          <w:bCs/>
          <w:color w:val="000000" w:themeColor="text1"/>
        </w:rPr>
        <w:t>,</w:t>
      </w:r>
      <w:r w:rsidRPr="00530B38">
        <w:rPr>
          <w:bCs/>
          <w:color w:val="000000" w:themeColor="text1"/>
        </w:rPr>
        <w:t xml:space="preserve"> but </w:t>
      </w:r>
      <w:r w:rsidR="00604C42" w:rsidRPr="00530B38">
        <w:rPr>
          <w:bCs/>
          <w:color w:val="000000" w:themeColor="text1"/>
        </w:rPr>
        <w:t xml:space="preserve">is </w:t>
      </w:r>
      <w:r w:rsidRPr="00530B38">
        <w:rPr>
          <w:bCs/>
          <w:color w:val="000000" w:themeColor="text1"/>
        </w:rPr>
        <w:t xml:space="preserve">not limited </w:t>
      </w:r>
      <w:r w:rsidR="00B8520C" w:rsidRPr="00530B38">
        <w:rPr>
          <w:bCs/>
          <w:color w:val="000000" w:themeColor="text1"/>
        </w:rPr>
        <w:t xml:space="preserve">to: </w:t>
      </w:r>
    </w:p>
    <w:p w14:paraId="5B3543D1" w14:textId="6DB43B42" w:rsidR="0068581E" w:rsidRPr="00530B38" w:rsidRDefault="00F0051E" w:rsidP="00530B38">
      <w:pPr>
        <w:pStyle w:val="ListParagraph"/>
        <w:numPr>
          <w:ilvl w:val="0"/>
          <w:numId w:val="9"/>
        </w:numPr>
        <w:spacing w:after="120"/>
        <w:contextualSpacing/>
        <w:jc w:val="both"/>
        <w:rPr>
          <w:bCs/>
          <w:color w:val="000000" w:themeColor="text1"/>
        </w:rPr>
      </w:pPr>
      <w:r>
        <w:rPr>
          <w:bCs/>
          <w:color w:val="000000" w:themeColor="text1"/>
        </w:rPr>
        <w:t>E</w:t>
      </w:r>
      <w:r w:rsidR="0068581E" w:rsidRPr="00530B38">
        <w:rPr>
          <w:bCs/>
          <w:color w:val="000000" w:themeColor="text1"/>
        </w:rPr>
        <w:t xml:space="preserve">stablishing an effective tariff regulation covering all economic and financial aspects to achieve fair tariffs while ensuring licensee viability. </w:t>
      </w:r>
    </w:p>
    <w:p w14:paraId="41EAB90C" w14:textId="3F5511DF" w:rsidR="0068581E" w:rsidRPr="00530B38" w:rsidRDefault="0068581E" w:rsidP="00530B38">
      <w:pPr>
        <w:pStyle w:val="ListParagraph"/>
        <w:numPr>
          <w:ilvl w:val="0"/>
          <w:numId w:val="9"/>
        </w:numPr>
        <w:spacing w:after="120" w:line="240" w:lineRule="auto"/>
        <w:contextualSpacing/>
        <w:jc w:val="both"/>
        <w:rPr>
          <w:bCs/>
          <w:color w:val="000000" w:themeColor="text1"/>
        </w:rPr>
      </w:pPr>
      <w:r w:rsidRPr="00530B38">
        <w:rPr>
          <w:bCs/>
          <w:color w:val="000000" w:themeColor="text1"/>
        </w:rPr>
        <w:t xml:space="preserve">Support </w:t>
      </w:r>
      <w:r w:rsidR="00220189">
        <w:rPr>
          <w:bCs/>
          <w:color w:val="000000" w:themeColor="text1"/>
        </w:rPr>
        <w:t>NEA</w:t>
      </w:r>
      <w:r w:rsidRPr="00530B38">
        <w:rPr>
          <w:bCs/>
          <w:color w:val="000000" w:themeColor="text1"/>
        </w:rPr>
        <w:t xml:space="preserve"> in ensuring economic and financial compliance of the ESPs and other industry operators. </w:t>
      </w:r>
    </w:p>
    <w:p w14:paraId="598B5C50" w14:textId="4568B645" w:rsidR="0068581E" w:rsidRPr="00530B38" w:rsidRDefault="0068581E" w:rsidP="00530B38">
      <w:pPr>
        <w:pStyle w:val="ListParagraph"/>
        <w:numPr>
          <w:ilvl w:val="0"/>
          <w:numId w:val="9"/>
        </w:numPr>
        <w:spacing w:after="120" w:line="240" w:lineRule="auto"/>
        <w:contextualSpacing/>
        <w:jc w:val="both"/>
        <w:rPr>
          <w:bCs/>
          <w:color w:val="000000" w:themeColor="text1"/>
        </w:rPr>
      </w:pPr>
      <w:r w:rsidRPr="00530B38">
        <w:rPr>
          <w:bCs/>
          <w:color w:val="000000" w:themeColor="text1"/>
        </w:rPr>
        <w:t xml:space="preserve">Determining appropriate tariff structures and pricing levels of electricity ESPs, and PPP entities, and evaluating the efficiency of their financial operations. </w:t>
      </w:r>
    </w:p>
    <w:p w14:paraId="43BBAD37" w14:textId="53947CCF" w:rsidR="0068581E" w:rsidRPr="00530B38" w:rsidRDefault="0068581E" w:rsidP="00530B38">
      <w:pPr>
        <w:pStyle w:val="ListParagraph"/>
        <w:numPr>
          <w:ilvl w:val="0"/>
          <w:numId w:val="9"/>
        </w:numPr>
        <w:spacing w:after="120" w:line="240" w:lineRule="auto"/>
        <w:contextualSpacing/>
        <w:jc w:val="both"/>
        <w:rPr>
          <w:bCs/>
          <w:color w:val="000000" w:themeColor="text1"/>
        </w:rPr>
      </w:pPr>
      <w:r w:rsidRPr="00530B38">
        <w:rPr>
          <w:bCs/>
          <w:color w:val="000000" w:themeColor="text1"/>
        </w:rPr>
        <w:t xml:space="preserve">Developing appropriate policies, procedures, and standards for pricing and tariffs. </w:t>
      </w:r>
    </w:p>
    <w:p w14:paraId="1C1674AC" w14:textId="2F7BC937" w:rsidR="0068581E" w:rsidRPr="00530B38" w:rsidRDefault="0068581E" w:rsidP="00530B38">
      <w:pPr>
        <w:pStyle w:val="ListParagraph"/>
        <w:numPr>
          <w:ilvl w:val="0"/>
          <w:numId w:val="9"/>
        </w:numPr>
        <w:spacing w:after="120" w:line="240" w:lineRule="auto"/>
        <w:contextualSpacing/>
        <w:jc w:val="both"/>
        <w:rPr>
          <w:bCs/>
          <w:color w:val="000000" w:themeColor="text1"/>
        </w:rPr>
      </w:pPr>
      <w:r w:rsidRPr="00530B38">
        <w:rPr>
          <w:bCs/>
          <w:color w:val="000000" w:themeColor="text1"/>
        </w:rPr>
        <w:t xml:space="preserve">Oversee sector economic and financial regulation planning activities for the short-term, medium, and long-term. </w:t>
      </w:r>
    </w:p>
    <w:p w14:paraId="2A5870D4" w14:textId="34EBCA3E" w:rsidR="00AD0395" w:rsidRPr="00530B38" w:rsidRDefault="0068581E" w:rsidP="00530B38">
      <w:pPr>
        <w:pStyle w:val="ListParagraph"/>
        <w:numPr>
          <w:ilvl w:val="0"/>
          <w:numId w:val="9"/>
        </w:numPr>
        <w:spacing w:after="120" w:line="240" w:lineRule="auto"/>
        <w:contextualSpacing/>
        <w:jc w:val="both"/>
        <w:rPr>
          <w:rFonts w:eastAsia="Times New Roman"/>
        </w:rPr>
      </w:pPr>
      <w:r w:rsidRPr="0068581E">
        <w:rPr>
          <w:bCs/>
          <w:color w:val="000000" w:themeColor="text1"/>
        </w:rPr>
        <w:t>Collecting and analyzing data, providing recommendations to inform policy and regulation</w:t>
      </w:r>
      <w:r w:rsidR="002A2ABA" w:rsidRPr="00530B38">
        <w:rPr>
          <w:rFonts w:eastAsia="Times New Roman"/>
        </w:rPr>
        <w:t xml:space="preserve">.  </w:t>
      </w:r>
    </w:p>
    <w:p w14:paraId="393E3F00" w14:textId="361D5A4F" w:rsidR="009B4A95" w:rsidRPr="00976655" w:rsidRDefault="005A015A" w:rsidP="008D3BD2">
      <w:pPr>
        <w:numPr>
          <w:ilvl w:val="0"/>
          <w:numId w:val="1"/>
        </w:numPr>
        <w:spacing w:after="160" w:line="276" w:lineRule="auto"/>
        <w:jc w:val="both"/>
        <w:rPr>
          <w:b/>
          <w:bCs/>
        </w:rPr>
      </w:pPr>
      <w:r w:rsidRPr="00976655">
        <w:rPr>
          <w:b/>
          <w:bCs/>
        </w:rPr>
        <w:lastRenderedPageBreak/>
        <w:t>Scope of Work</w:t>
      </w:r>
      <w:r w:rsidR="00067536">
        <w:rPr>
          <w:b/>
          <w:bCs/>
        </w:rPr>
        <w:t xml:space="preserve">: </w:t>
      </w:r>
    </w:p>
    <w:p w14:paraId="66827E4D" w14:textId="17E47D3A" w:rsidR="00844FFE" w:rsidRPr="00976655" w:rsidRDefault="002A2ABA" w:rsidP="008D3BD2">
      <w:pPr>
        <w:tabs>
          <w:tab w:val="left" w:pos="540"/>
        </w:tabs>
        <w:spacing w:after="120" w:line="276" w:lineRule="auto"/>
        <w:jc w:val="both"/>
        <w:rPr>
          <w:rFonts w:eastAsia="Times New Roman"/>
        </w:rPr>
      </w:pPr>
      <w:r w:rsidRPr="00976655">
        <w:rPr>
          <w:rFonts w:eastAsia="Times New Roman"/>
        </w:rPr>
        <w:t xml:space="preserve">The key responsibilities under this assignment </w:t>
      </w:r>
      <w:r w:rsidR="00976655" w:rsidRPr="00976655">
        <w:rPr>
          <w:rFonts w:eastAsia="Times New Roman"/>
        </w:rPr>
        <w:t xml:space="preserve">for </w:t>
      </w:r>
      <w:r w:rsidR="000E6FD7">
        <w:rPr>
          <w:rFonts w:eastAsia="Times New Roman"/>
        </w:rPr>
        <w:t>the</w:t>
      </w:r>
      <w:r w:rsidR="00A671B5" w:rsidRPr="00976655">
        <w:rPr>
          <w:bCs/>
          <w:color w:val="373A3C"/>
        </w:rPr>
        <w:t xml:space="preserve"> </w:t>
      </w:r>
      <w:r w:rsidRPr="00976655">
        <w:rPr>
          <w:bCs/>
          <w:color w:val="373A3C"/>
        </w:rPr>
        <w:t xml:space="preserve">Economic </w:t>
      </w:r>
      <w:r w:rsidR="00025ABB" w:rsidRPr="00976655">
        <w:rPr>
          <w:bCs/>
          <w:color w:val="373A3C"/>
        </w:rPr>
        <w:t>Regulation</w:t>
      </w:r>
      <w:r w:rsidR="00025ABB" w:rsidRPr="00976655" w:rsidDel="00A671B5">
        <w:rPr>
          <w:rFonts w:eastAsia="Times New Roman"/>
        </w:rPr>
        <w:t xml:space="preserve"> </w:t>
      </w:r>
      <w:r w:rsidR="00025ABB" w:rsidRPr="00976655">
        <w:rPr>
          <w:rFonts w:eastAsia="Times New Roman"/>
        </w:rPr>
        <w:t>Advisor</w:t>
      </w:r>
      <w:r w:rsidR="00A671B5" w:rsidRPr="00976655">
        <w:rPr>
          <w:rFonts w:eastAsia="Times New Roman"/>
        </w:rPr>
        <w:t xml:space="preserve"> </w:t>
      </w:r>
      <w:r w:rsidR="0054163A" w:rsidRPr="00976655">
        <w:rPr>
          <w:rFonts w:eastAsia="Times New Roman"/>
        </w:rPr>
        <w:t>include _</w:t>
      </w:r>
    </w:p>
    <w:p w14:paraId="309804FA" w14:textId="54C1E05D" w:rsidR="005B3F53" w:rsidRPr="00530B38" w:rsidRDefault="009B0BF2" w:rsidP="00530B38">
      <w:pPr>
        <w:pStyle w:val="ListParagraph"/>
        <w:numPr>
          <w:ilvl w:val="0"/>
          <w:numId w:val="11"/>
        </w:numPr>
        <w:tabs>
          <w:tab w:val="left" w:pos="540"/>
        </w:tabs>
        <w:spacing w:after="120" w:line="240" w:lineRule="auto"/>
        <w:ind w:hanging="720"/>
        <w:contextualSpacing/>
        <w:jc w:val="both"/>
        <w:rPr>
          <w:rFonts w:eastAsia="Times New Roman"/>
        </w:rPr>
      </w:pPr>
      <w:r>
        <w:rPr>
          <w:rFonts w:eastAsia="Times New Roman"/>
        </w:rPr>
        <w:t xml:space="preserve">         </w:t>
      </w:r>
      <w:r w:rsidR="005B3F53" w:rsidRPr="00530B38">
        <w:rPr>
          <w:rFonts w:eastAsia="Times New Roman"/>
        </w:rPr>
        <w:t xml:space="preserve">Support </w:t>
      </w:r>
      <w:r w:rsidR="005B3F53">
        <w:rPr>
          <w:rFonts w:eastAsia="Times New Roman"/>
        </w:rPr>
        <w:t>NEA</w:t>
      </w:r>
      <w:r w:rsidR="005B3F53" w:rsidRPr="00530B38">
        <w:rPr>
          <w:rFonts w:eastAsia="Times New Roman"/>
        </w:rPr>
        <w:t xml:space="preserve"> in developing effective policy, legislation, regulations, and guidelines.</w:t>
      </w:r>
    </w:p>
    <w:p w14:paraId="5303C5DB" w14:textId="77777777" w:rsidR="005B3F53" w:rsidRPr="00530B38" w:rsidRDefault="005B3F53" w:rsidP="00530B38">
      <w:pPr>
        <w:pStyle w:val="ListParagraph"/>
        <w:numPr>
          <w:ilvl w:val="0"/>
          <w:numId w:val="11"/>
        </w:numPr>
        <w:tabs>
          <w:tab w:val="left" w:pos="540"/>
        </w:tabs>
        <w:spacing w:after="120" w:line="240" w:lineRule="auto"/>
        <w:ind w:hanging="720"/>
        <w:contextualSpacing/>
        <w:jc w:val="both"/>
        <w:rPr>
          <w:rFonts w:eastAsia="Times New Roman"/>
        </w:rPr>
      </w:pPr>
      <w:r w:rsidRPr="00530B38">
        <w:rPr>
          <w:rFonts w:eastAsia="Times New Roman"/>
        </w:rPr>
        <w:t xml:space="preserve">Developing policies and electricity tariff structures and assessing tariff applications for efficiency and reasonableness. </w:t>
      </w:r>
    </w:p>
    <w:p w14:paraId="52CA56FF" w14:textId="77777777" w:rsidR="005B3F53" w:rsidRPr="00530B38" w:rsidRDefault="005B3F53" w:rsidP="00530B38">
      <w:pPr>
        <w:pStyle w:val="ListParagraph"/>
        <w:numPr>
          <w:ilvl w:val="0"/>
          <w:numId w:val="11"/>
        </w:numPr>
        <w:tabs>
          <w:tab w:val="left" w:pos="540"/>
        </w:tabs>
        <w:spacing w:after="120" w:line="240" w:lineRule="auto"/>
        <w:ind w:hanging="720"/>
        <w:contextualSpacing/>
        <w:jc w:val="both"/>
        <w:rPr>
          <w:rFonts w:eastAsia="Times New Roman"/>
        </w:rPr>
      </w:pPr>
      <w:r w:rsidRPr="00530B38">
        <w:rPr>
          <w:rFonts w:eastAsia="Times New Roman"/>
        </w:rPr>
        <w:t>Monitoring compliance to stipulated terms and conditions of the license by regulated licensees.</w:t>
      </w:r>
    </w:p>
    <w:p w14:paraId="377858D1" w14:textId="77777777" w:rsidR="005B3F53" w:rsidRPr="00530B38" w:rsidRDefault="005B3F53" w:rsidP="00530B38">
      <w:pPr>
        <w:pStyle w:val="ListParagraph"/>
        <w:numPr>
          <w:ilvl w:val="0"/>
          <w:numId w:val="11"/>
        </w:numPr>
        <w:tabs>
          <w:tab w:val="left" w:pos="540"/>
        </w:tabs>
        <w:spacing w:after="120" w:line="240" w:lineRule="auto"/>
        <w:ind w:hanging="720"/>
        <w:contextualSpacing/>
        <w:jc w:val="both"/>
        <w:rPr>
          <w:rFonts w:eastAsia="Times New Roman"/>
        </w:rPr>
      </w:pPr>
      <w:r w:rsidRPr="00530B38">
        <w:rPr>
          <w:rFonts w:eastAsia="Times New Roman"/>
        </w:rPr>
        <w:t>Creation, management &amp; maintenance of a comprehensive database on all aspects of the electricity supply industry.</w:t>
      </w:r>
    </w:p>
    <w:p w14:paraId="1EF41E26" w14:textId="77777777" w:rsidR="005B3F53" w:rsidRPr="00530B38" w:rsidRDefault="005B3F53" w:rsidP="00530B38">
      <w:pPr>
        <w:pStyle w:val="ListParagraph"/>
        <w:numPr>
          <w:ilvl w:val="0"/>
          <w:numId w:val="11"/>
        </w:numPr>
        <w:tabs>
          <w:tab w:val="left" w:pos="540"/>
        </w:tabs>
        <w:spacing w:after="120" w:line="240" w:lineRule="auto"/>
        <w:ind w:hanging="720"/>
        <w:contextualSpacing/>
        <w:jc w:val="both"/>
        <w:rPr>
          <w:rFonts w:eastAsia="Times New Roman"/>
        </w:rPr>
      </w:pPr>
      <w:r w:rsidRPr="00530B38">
        <w:rPr>
          <w:rFonts w:eastAsia="Times New Roman"/>
        </w:rPr>
        <w:t xml:space="preserve">Monitor investment in the power sector as committed by ESPs, PPP, entities, and other Rural Utilities under regulation. </w:t>
      </w:r>
    </w:p>
    <w:p w14:paraId="16355194" w14:textId="77777777" w:rsidR="005B3F53" w:rsidRPr="00530B38" w:rsidRDefault="005B3F53" w:rsidP="00530B38">
      <w:pPr>
        <w:pStyle w:val="ListParagraph"/>
        <w:numPr>
          <w:ilvl w:val="0"/>
          <w:numId w:val="11"/>
        </w:numPr>
        <w:tabs>
          <w:tab w:val="left" w:pos="540"/>
        </w:tabs>
        <w:spacing w:after="120" w:line="240" w:lineRule="auto"/>
        <w:ind w:hanging="720"/>
        <w:contextualSpacing/>
        <w:jc w:val="both"/>
        <w:rPr>
          <w:rFonts w:eastAsia="Times New Roman"/>
        </w:rPr>
      </w:pPr>
      <w:r w:rsidRPr="00530B38">
        <w:rPr>
          <w:rFonts w:eastAsia="Times New Roman"/>
        </w:rPr>
        <w:t>Analyze financial quarterly reports ESPs and other utility companies to ensure the optimal cost of service.</w:t>
      </w:r>
    </w:p>
    <w:p w14:paraId="16874FF8" w14:textId="77777777" w:rsidR="005B3F53" w:rsidRPr="00530B38" w:rsidRDefault="005B3F53" w:rsidP="00530B38">
      <w:pPr>
        <w:pStyle w:val="ListParagraph"/>
        <w:numPr>
          <w:ilvl w:val="0"/>
          <w:numId w:val="11"/>
        </w:numPr>
        <w:tabs>
          <w:tab w:val="left" w:pos="540"/>
        </w:tabs>
        <w:spacing w:after="120" w:line="240" w:lineRule="auto"/>
        <w:ind w:hanging="720"/>
        <w:contextualSpacing/>
        <w:jc w:val="both"/>
        <w:rPr>
          <w:rFonts w:eastAsia="Times New Roman"/>
        </w:rPr>
      </w:pPr>
      <w:r w:rsidRPr="00530B38">
        <w:rPr>
          <w:rFonts w:eastAsia="Times New Roman"/>
        </w:rPr>
        <w:t xml:space="preserve">Forecast electricity demand for the electricity supply industry for the short, medium, and long term &amp; make plans for least-cost generation &amp; associated financing. </w:t>
      </w:r>
    </w:p>
    <w:p w14:paraId="60138F38" w14:textId="77777777" w:rsidR="005B3F53" w:rsidRPr="00530B38" w:rsidRDefault="005B3F53" w:rsidP="00530B38">
      <w:pPr>
        <w:pStyle w:val="ListParagraph"/>
        <w:numPr>
          <w:ilvl w:val="0"/>
          <w:numId w:val="11"/>
        </w:numPr>
        <w:tabs>
          <w:tab w:val="left" w:pos="540"/>
        </w:tabs>
        <w:spacing w:after="120" w:line="240" w:lineRule="auto"/>
        <w:ind w:hanging="720"/>
        <w:contextualSpacing/>
        <w:jc w:val="both"/>
        <w:rPr>
          <w:rFonts w:eastAsia="Times New Roman"/>
        </w:rPr>
      </w:pPr>
      <w:r w:rsidRPr="00530B38">
        <w:rPr>
          <w:rFonts w:eastAsia="Times New Roman"/>
        </w:rPr>
        <w:t xml:space="preserve">Evaluate project proposals for financial feasibility. </w:t>
      </w:r>
    </w:p>
    <w:p w14:paraId="696A4509" w14:textId="77777777" w:rsidR="005B3F53" w:rsidRPr="00530B38" w:rsidRDefault="005B3F53" w:rsidP="00530B38">
      <w:pPr>
        <w:pStyle w:val="ListParagraph"/>
        <w:numPr>
          <w:ilvl w:val="0"/>
          <w:numId w:val="11"/>
        </w:numPr>
        <w:tabs>
          <w:tab w:val="left" w:pos="540"/>
        </w:tabs>
        <w:spacing w:after="120" w:line="240" w:lineRule="auto"/>
        <w:ind w:hanging="720"/>
        <w:contextualSpacing/>
        <w:jc w:val="both"/>
        <w:rPr>
          <w:rFonts w:eastAsia="Times New Roman"/>
        </w:rPr>
      </w:pPr>
      <w:r w:rsidRPr="00530B38">
        <w:rPr>
          <w:rFonts w:eastAsia="Times New Roman"/>
        </w:rPr>
        <w:t>Provide financial input from budgets and contracts of licensees for tariff determination.</w:t>
      </w:r>
    </w:p>
    <w:p w14:paraId="2CE7677A" w14:textId="2BF86F62" w:rsidR="005B3F53" w:rsidRPr="00530B38" w:rsidRDefault="005B3F53" w:rsidP="00530B38">
      <w:pPr>
        <w:pStyle w:val="ListParagraph"/>
        <w:numPr>
          <w:ilvl w:val="0"/>
          <w:numId w:val="11"/>
        </w:numPr>
        <w:tabs>
          <w:tab w:val="left" w:pos="540"/>
        </w:tabs>
        <w:spacing w:after="120" w:line="240" w:lineRule="auto"/>
        <w:ind w:hanging="720"/>
        <w:contextualSpacing/>
        <w:jc w:val="both"/>
        <w:rPr>
          <w:rFonts w:eastAsia="Times New Roman"/>
        </w:rPr>
      </w:pPr>
      <w:r w:rsidRPr="00530B38">
        <w:rPr>
          <w:rFonts w:eastAsia="Times New Roman"/>
        </w:rPr>
        <w:t xml:space="preserve">Gather &amp; coordinate from surveys macroeconomic indicators needed for </w:t>
      </w:r>
      <w:r>
        <w:rPr>
          <w:rFonts w:eastAsia="Times New Roman"/>
        </w:rPr>
        <w:t>NEA</w:t>
      </w:r>
      <w:r w:rsidRPr="00530B38">
        <w:rPr>
          <w:rFonts w:eastAsia="Times New Roman"/>
        </w:rPr>
        <w:t xml:space="preserve"> electricity tariff supervision and general sector regulation.</w:t>
      </w:r>
    </w:p>
    <w:p w14:paraId="44797ACD" w14:textId="77777777" w:rsidR="005B3F53" w:rsidRPr="00530B38" w:rsidRDefault="005B3F53" w:rsidP="00530B38">
      <w:pPr>
        <w:pStyle w:val="ListParagraph"/>
        <w:numPr>
          <w:ilvl w:val="0"/>
          <w:numId w:val="11"/>
        </w:numPr>
        <w:tabs>
          <w:tab w:val="left" w:pos="540"/>
        </w:tabs>
        <w:spacing w:after="120" w:line="240" w:lineRule="auto"/>
        <w:ind w:hanging="720"/>
        <w:contextualSpacing/>
        <w:jc w:val="both"/>
        <w:rPr>
          <w:rFonts w:eastAsia="Times New Roman"/>
        </w:rPr>
      </w:pPr>
      <w:r w:rsidRPr="00530B38">
        <w:rPr>
          <w:rFonts w:eastAsia="Times New Roman"/>
        </w:rPr>
        <w:t>Ensure the effective performance of all staff in this Department in the production of key outputs.</w:t>
      </w:r>
    </w:p>
    <w:p w14:paraId="0368EF41" w14:textId="77777777" w:rsidR="005B3F53" w:rsidRPr="00530B38" w:rsidRDefault="005B3F53" w:rsidP="00530B38">
      <w:pPr>
        <w:pStyle w:val="ListParagraph"/>
        <w:numPr>
          <w:ilvl w:val="0"/>
          <w:numId w:val="11"/>
        </w:numPr>
        <w:tabs>
          <w:tab w:val="left" w:pos="540"/>
        </w:tabs>
        <w:spacing w:after="120" w:line="240" w:lineRule="auto"/>
        <w:ind w:hanging="720"/>
        <w:contextualSpacing/>
        <w:jc w:val="both"/>
        <w:rPr>
          <w:rFonts w:eastAsia="Times New Roman"/>
        </w:rPr>
      </w:pPr>
      <w:r w:rsidRPr="00530B38">
        <w:rPr>
          <w:rFonts w:eastAsia="Times New Roman"/>
        </w:rPr>
        <w:t>Mentor &amp; provide technical support to staff within this Department.</w:t>
      </w:r>
    </w:p>
    <w:p w14:paraId="6BAF4FDA" w14:textId="77777777" w:rsidR="005B3F53" w:rsidRPr="00530B38" w:rsidRDefault="005B3F53" w:rsidP="00530B38">
      <w:pPr>
        <w:pStyle w:val="ListParagraph"/>
        <w:numPr>
          <w:ilvl w:val="0"/>
          <w:numId w:val="11"/>
        </w:numPr>
        <w:tabs>
          <w:tab w:val="left" w:pos="540"/>
        </w:tabs>
        <w:spacing w:after="120" w:line="240" w:lineRule="auto"/>
        <w:ind w:hanging="720"/>
        <w:contextualSpacing/>
        <w:jc w:val="both"/>
        <w:rPr>
          <w:rFonts w:eastAsia="Times New Roman"/>
        </w:rPr>
      </w:pPr>
      <w:r w:rsidRPr="00530B38">
        <w:rPr>
          <w:rFonts w:eastAsia="Times New Roman"/>
        </w:rPr>
        <w:t xml:space="preserve">Determining and enforcing appropriate systems of Economic Regulation, collecting and maintaining relevant records </w:t>
      </w:r>
      <w:proofErr w:type="gramStart"/>
      <w:r w:rsidRPr="00530B38">
        <w:rPr>
          <w:rFonts w:eastAsia="Times New Roman"/>
        </w:rPr>
        <w:t>in order to</w:t>
      </w:r>
      <w:proofErr w:type="gramEnd"/>
      <w:r w:rsidRPr="00530B38">
        <w:rPr>
          <w:rFonts w:eastAsia="Times New Roman"/>
        </w:rPr>
        <w:t xml:space="preserve"> recognize and analyze trends in utility performance.</w:t>
      </w:r>
    </w:p>
    <w:p w14:paraId="3F9743B9" w14:textId="77777777" w:rsidR="005B3F53" w:rsidRPr="00530B38" w:rsidRDefault="005B3F53" w:rsidP="00530B38">
      <w:pPr>
        <w:pStyle w:val="ListParagraph"/>
        <w:numPr>
          <w:ilvl w:val="0"/>
          <w:numId w:val="11"/>
        </w:numPr>
        <w:tabs>
          <w:tab w:val="left" w:pos="540"/>
        </w:tabs>
        <w:spacing w:after="120" w:line="240" w:lineRule="auto"/>
        <w:ind w:hanging="720"/>
        <w:contextualSpacing/>
        <w:jc w:val="both"/>
        <w:rPr>
          <w:rFonts w:eastAsia="Times New Roman"/>
        </w:rPr>
      </w:pPr>
      <w:r w:rsidRPr="00530B38">
        <w:rPr>
          <w:rFonts w:eastAsia="Times New Roman"/>
        </w:rPr>
        <w:t>Preparation &amp; dissemination of ESI performance reports.</w:t>
      </w:r>
    </w:p>
    <w:p w14:paraId="290DEED8" w14:textId="6E9CC009" w:rsidR="005B3F53" w:rsidRPr="00530B38" w:rsidRDefault="005B3F53" w:rsidP="00530B38">
      <w:pPr>
        <w:pStyle w:val="ListParagraph"/>
        <w:numPr>
          <w:ilvl w:val="0"/>
          <w:numId w:val="11"/>
        </w:numPr>
        <w:tabs>
          <w:tab w:val="left" w:pos="540"/>
        </w:tabs>
        <w:spacing w:after="120" w:line="240" w:lineRule="auto"/>
        <w:ind w:hanging="720"/>
        <w:contextualSpacing/>
        <w:jc w:val="both"/>
        <w:rPr>
          <w:rFonts w:eastAsia="Times New Roman"/>
        </w:rPr>
      </w:pPr>
      <w:r w:rsidRPr="00530B38">
        <w:rPr>
          <w:rFonts w:eastAsia="Times New Roman"/>
        </w:rPr>
        <w:t xml:space="preserve">Provide advice to the </w:t>
      </w:r>
      <w:r w:rsidR="0080181F">
        <w:rPr>
          <w:rFonts w:eastAsia="Times New Roman"/>
        </w:rPr>
        <w:t>Authority</w:t>
      </w:r>
      <w:r w:rsidRPr="00530B38">
        <w:rPr>
          <w:rFonts w:eastAsia="Times New Roman"/>
        </w:rPr>
        <w:t xml:space="preserve"> on policies, strategies, procedures, and decisions on pricing and tariffs and rate of return issues for the utilities.</w:t>
      </w:r>
    </w:p>
    <w:p w14:paraId="169097C2" w14:textId="77777777" w:rsidR="005B3F53" w:rsidRPr="00530B38" w:rsidRDefault="005B3F53" w:rsidP="00530B38">
      <w:pPr>
        <w:pStyle w:val="ListParagraph"/>
        <w:numPr>
          <w:ilvl w:val="0"/>
          <w:numId w:val="11"/>
        </w:numPr>
        <w:tabs>
          <w:tab w:val="left" w:pos="540"/>
        </w:tabs>
        <w:spacing w:after="120" w:line="240" w:lineRule="auto"/>
        <w:ind w:hanging="720"/>
        <w:contextualSpacing/>
        <w:jc w:val="both"/>
        <w:rPr>
          <w:rFonts w:eastAsia="Times New Roman"/>
        </w:rPr>
      </w:pPr>
      <w:r w:rsidRPr="00530B38">
        <w:rPr>
          <w:rFonts w:eastAsia="Times New Roman"/>
        </w:rPr>
        <w:t>Data Collection: conduct research on topical issues in the economy related to energy economics and finance.</w:t>
      </w:r>
    </w:p>
    <w:p w14:paraId="7BD06B53" w14:textId="75C1DC8C" w:rsidR="00C90783" w:rsidRPr="00530B38" w:rsidRDefault="0080181F" w:rsidP="00530B38">
      <w:pPr>
        <w:pStyle w:val="ListParagraph"/>
        <w:numPr>
          <w:ilvl w:val="0"/>
          <w:numId w:val="11"/>
        </w:numPr>
        <w:spacing w:after="120" w:line="240" w:lineRule="auto"/>
        <w:ind w:hanging="720"/>
        <w:contextualSpacing/>
        <w:jc w:val="both"/>
        <w:rPr>
          <w:rFonts w:eastAsia="Times New Roman"/>
        </w:rPr>
      </w:pPr>
      <w:r>
        <w:rPr>
          <w:rFonts w:eastAsia="Times New Roman"/>
        </w:rPr>
        <w:t>U</w:t>
      </w:r>
      <w:r w:rsidR="00844FFE" w:rsidRPr="00530B38">
        <w:rPr>
          <w:rFonts w:eastAsia="Times New Roman"/>
        </w:rPr>
        <w:t xml:space="preserve">ndertake any other duties as determined by the </w:t>
      </w:r>
      <w:r w:rsidR="00A671B5" w:rsidRPr="00530B38">
        <w:rPr>
          <w:rFonts w:eastAsia="Times New Roman"/>
        </w:rPr>
        <w:t>Director General</w:t>
      </w:r>
      <w:r w:rsidR="00CB4193" w:rsidRPr="00530B38">
        <w:rPr>
          <w:rFonts w:eastAsia="Times New Roman"/>
        </w:rPr>
        <w:t xml:space="preserve"> </w:t>
      </w:r>
      <w:r w:rsidR="00A671B5" w:rsidRPr="00530B38">
        <w:rPr>
          <w:rFonts w:eastAsia="Times New Roman"/>
        </w:rPr>
        <w:t xml:space="preserve">of </w:t>
      </w:r>
      <w:r w:rsidR="00DB69F0" w:rsidRPr="00530B38">
        <w:rPr>
          <w:rFonts w:eastAsia="Times New Roman"/>
        </w:rPr>
        <w:t>NEA</w:t>
      </w:r>
      <w:r w:rsidR="00844FFE" w:rsidRPr="00530B38">
        <w:rPr>
          <w:rFonts w:eastAsia="Times New Roman"/>
        </w:rPr>
        <w:t xml:space="preserve"> including attending more program-wide meetings.</w:t>
      </w:r>
    </w:p>
    <w:p w14:paraId="4607F309" w14:textId="77777777" w:rsidR="008D3BD2" w:rsidRPr="00976655" w:rsidRDefault="008D3BD2" w:rsidP="008D3BD2">
      <w:pPr>
        <w:spacing w:after="120" w:line="240" w:lineRule="atLeast"/>
        <w:ind w:left="990"/>
        <w:jc w:val="both"/>
        <w:rPr>
          <w:rFonts w:eastAsia="Times New Roman"/>
        </w:rPr>
      </w:pPr>
    </w:p>
    <w:p w14:paraId="1E3AEB20" w14:textId="6641867A" w:rsidR="0025793E" w:rsidRPr="008D3BD2" w:rsidRDefault="0025793E" w:rsidP="008D3BD2">
      <w:pPr>
        <w:pStyle w:val="ListParagraph"/>
        <w:numPr>
          <w:ilvl w:val="0"/>
          <w:numId w:val="1"/>
        </w:numPr>
        <w:spacing w:after="160"/>
        <w:jc w:val="both"/>
        <w:rPr>
          <w:b/>
          <w:bCs/>
        </w:rPr>
      </w:pPr>
      <w:r w:rsidRPr="008D3BD2">
        <w:rPr>
          <w:b/>
          <w:bCs/>
        </w:rPr>
        <w:t>Deliverables</w:t>
      </w:r>
      <w:r w:rsidR="0038386D" w:rsidRPr="008D3BD2">
        <w:rPr>
          <w:b/>
          <w:bCs/>
        </w:rPr>
        <w:t>:</w:t>
      </w:r>
    </w:p>
    <w:p w14:paraId="555AF4BA" w14:textId="77777777" w:rsidR="0025793E" w:rsidRPr="00976655" w:rsidRDefault="0025793E" w:rsidP="008D3BD2">
      <w:pPr>
        <w:spacing w:line="276" w:lineRule="auto"/>
        <w:jc w:val="both"/>
        <w:rPr>
          <w:rFonts w:eastAsia="Times New Roman"/>
          <w:color w:val="000000"/>
        </w:rPr>
      </w:pPr>
      <w:r w:rsidRPr="00976655">
        <w:rPr>
          <w:rFonts w:eastAsia="Times New Roman"/>
          <w:color w:val="000000"/>
        </w:rPr>
        <w:t xml:space="preserve">The deliverables for the Consultant will be as follows. </w:t>
      </w:r>
    </w:p>
    <w:p w14:paraId="2AAF69A7" w14:textId="2936DDB3" w:rsidR="00060449" w:rsidRPr="00976655" w:rsidRDefault="00060449" w:rsidP="000E6FD7">
      <w:pPr>
        <w:pStyle w:val="ListParagraph"/>
        <w:numPr>
          <w:ilvl w:val="0"/>
          <w:numId w:val="2"/>
        </w:numPr>
        <w:spacing w:after="0" w:line="240" w:lineRule="atLeast"/>
        <w:jc w:val="both"/>
        <w:rPr>
          <w:rFonts w:eastAsia="Times New Roman"/>
          <w:color w:val="000000"/>
        </w:rPr>
      </w:pPr>
      <w:r w:rsidRPr="00976655">
        <w:rPr>
          <w:bCs/>
        </w:rPr>
        <w:t xml:space="preserve">An action plan </w:t>
      </w:r>
      <w:r w:rsidR="004F56F2" w:rsidRPr="00976655">
        <w:rPr>
          <w:bCs/>
        </w:rPr>
        <w:t>to</w:t>
      </w:r>
      <w:r w:rsidR="00CD69B4">
        <w:rPr>
          <w:bCs/>
        </w:rPr>
        <w:t xml:space="preserve"> operationalize and</w:t>
      </w:r>
      <w:r w:rsidR="004F56F2" w:rsidRPr="00976655">
        <w:rPr>
          <w:bCs/>
        </w:rPr>
        <w:t xml:space="preserve"> implement </w:t>
      </w:r>
      <w:r w:rsidR="00CD69B4">
        <w:rPr>
          <w:bCs/>
        </w:rPr>
        <w:t xml:space="preserve">planned </w:t>
      </w:r>
      <w:r w:rsidR="00FE4B89">
        <w:rPr>
          <w:bCs/>
        </w:rPr>
        <w:t>regulations</w:t>
      </w:r>
      <w:r w:rsidR="00CD69B4">
        <w:rPr>
          <w:bCs/>
        </w:rPr>
        <w:t xml:space="preserve"> under the newly established legal and regulatory frameworks</w:t>
      </w:r>
      <w:r w:rsidRPr="00976655">
        <w:rPr>
          <w:bCs/>
        </w:rPr>
        <w:t>.</w:t>
      </w:r>
    </w:p>
    <w:p w14:paraId="24183739" w14:textId="64E8E5A5" w:rsidR="00265039" w:rsidRPr="00530B38" w:rsidRDefault="00265039" w:rsidP="000E6FD7">
      <w:pPr>
        <w:pStyle w:val="ListParagraph"/>
        <w:numPr>
          <w:ilvl w:val="0"/>
          <w:numId w:val="2"/>
        </w:numPr>
        <w:spacing w:after="0" w:line="240" w:lineRule="atLeast"/>
        <w:jc w:val="both"/>
        <w:rPr>
          <w:rFonts w:eastAsia="Times New Roman"/>
          <w:color w:val="000000"/>
        </w:rPr>
      </w:pPr>
      <w:r w:rsidRPr="00976655">
        <w:rPr>
          <w:bCs/>
        </w:rPr>
        <w:t xml:space="preserve">Contribute to the establishment of an effective </w:t>
      </w:r>
      <w:r w:rsidR="004F56F2" w:rsidRPr="00976655">
        <w:rPr>
          <w:bCs/>
        </w:rPr>
        <w:t>e</w:t>
      </w:r>
      <w:r w:rsidRPr="00976655">
        <w:rPr>
          <w:bCs/>
        </w:rPr>
        <w:t>conomic regulatory framework including regulations, guidelines</w:t>
      </w:r>
      <w:r w:rsidR="00CD69B4">
        <w:rPr>
          <w:bCs/>
        </w:rPr>
        <w:t xml:space="preserve">, </w:t>
      </w:r>
      <w:r w:rsidRPr="00976655">
        <w:rPr>
          <w:bCs/>
        </w:rPr>
        <w:t>tools, and processes.</w:t>
      </w:r>
    </w:p>
    <w:p w14:paraId="6F574D5E" w14:textId="0DD7BE3A" w:rsidR="00D239E0" w:rsidRPr="00D239E0" w:rsidRDefault="00D239E0" w:rsidP="00F918F4">
      <w:pPr>
        <w:pStyle w:val="ListParagraph"/>
        <w:numPr>
          <w:ilvl w:val="0"/>
          <w:numId w:val="2"/>
        </w:numPr>
        <w:spacing w:after="0"/>
        <w:rPr>
          <w:rFonts w:eastAsia="Times New Roman"/>
          <w:color w:val="000000"/>
        </w:rPr>
      </w:pPr>
      <w:r w:rsidRPr="00D239E0">
        <w:rPr>
          <w:rFonts w:eastAsia="Times New Roman"/>
          <w:color w:val="000000"/>
        </w:rPr>
        <w:t>Compliance framework for economic regulation for ESPs and other licensed service providers</w:t>
      </w:r>
      <w:r>
        <w:rPr>
          <w:rFonts w:eastAsia="Times New Roman"/>
          <w:color w:val="000000"/>
        </w:rPr>
        <w:t>.</w:t>
      </w:r>
    </w:p>
    <w:p w14:paraId="59FBFFF1" w14:textId="26A16396" w:rsidR="00265039" w:rsidRPr="00976655" w:rsidRDefault="00190923" w:rsidP="000E6FD7">
      <w:pPr>
        <w:pStyle w:val="ListParagraph"/>
        <w:numPr>
          <w:ilvl w:val="0"/>
          <w:numId w:val="2"/>
        </w:numPr>
        <w:spacing w:after="0" w:line="240" w:lineRule="atLeast"/>
        <w:jc w:val="both"/>
        <w:rPr>
          <w:rFonts w:eastAsia="Times New Roman"/>
          <w:color w:val="000000"/>
        </w:rPr>
      </w:pPr>
      <w:r>
        <w:rPr>
          <w:bCs/>
        </w:rPr>
        <w:t>Prepare Quarterly, Semiannual and Annual reports covering the key aspects of the ESI</w:t>
      </w:r>
      <w:r w:rsidR="00265039" w:rsidRPr="00976655">
        <w:rPr>
          <w:bCs/>
        </w:rPr>
        <w:t>.</w:t>
      </w:r>
    </w:p>
    <w:p w14:paraId="18733D74" w14:textId="4FAB6D18" w:rsidR="00265039" w:rsidRPr="002C3FAF" w:rsidRDefault="00265039" w:rsidP="000E6FD7">
      <w:pPr>
        <w:pStyle w:val="ListParagraph"/>
        <w:numPr>
          <w:ilvl w:val="0"/>
          <w:numId w:val="2"/>
        </w:numPr>
        <w:spacing w:after="0" w:line="240" w:lineRule="atLeast"/>
        <w:jc w:val="both"/>
        <w:rPr>
          <w:rFonts w:eastAsia="Times New Roman"/>
          <w:color w:val="000000"/>
        </w:rPr>
      </w:pPr>
      <w:r w:rsidRPr="00976655">
        <w:rPr>
          <w:bCs/>
        </w:rPr>
        <w:t>A comprehensive database for all ESI</w:t>
      </w:r>
      <w:r w:rsidR="00C51DA9">
        <w:rPr>
          <w:bCs/>
        </w:rPr>
        <w:t xml:space="preserve">, </w:t>
      </w:r>
      <w:r w:rsidR="007E2A1C">
        <w:rPr>
          <w:bCs/>
        </w:rPr>
        <w:t xml:space="preserve">including </w:t>
      </w:r>
      <w:r w:rsidRPr="00976655">
        <w:rPr>
          <w:bCs/>
        </w:rPr>
        <w:t>service providers</w:t>
      </w:r>
      <w:r w:rsidR="007E2A1C">
        <w:rPr>
          <w:bCs/>
        </w:rPr>
        <w:t xml:space="preserve"> (ESPs)</w:t>
      </w:r>
      <w:r w:rsidRPr="00976655">
        <w:rPr>
          <w:bCs/>
        </w:rPr>
        <w:t xml:space="preserve">, consumers and </w:t>
      </w:r>
      <w:r w:rsidR="003D367E">
        <w:rPr>
          <w:bCs/>
        </w:rPr>
        <w:t>other Key Performance Indicators</w:t>
      </w:r>
      <w:r w:rsidR="002C3FAF">
        <w:rPr>
          <w:bCs/>
        </w:rPr>
        <w:t>.</w:t>
      </w:r>
    </w:p>
    <w:p w14:paraId="51D6F616" w14:textId="77777777" w:rsidR="002C3FAF" w:rsidRPr="00976655" w:rsidRDefault="002C3FAF" w:rsidP="002C3FAF">
      <w:pPr>
        <w:pStyle w:val="ListParagraph"/>
        <w:spacing w:after="0" w:line="240" w:lineRule="atLeast"/>
        <w:jc w:val="both"/>
        <w:rPr>
          <w:rFonts w:eastAsia="Times New Roman"/>
          <w:color w:val="000000"/>
        </w:rPr>
      </w:pPr>
    </w:p>
    <w:p w14:paraId="1BA0ABA9" w14:textId="77777777" w:rsidR="008D3BD2" w:rsidRPr="00976655" w:rsidRDefault="008D3BD2" w:rsidP="008D3BD2">
      <w:pPr>
        <w:pStyle w:val="ListParagraph"/>
        <w:spacing w:after="160"/>
        <w:contextualSpacing/>
        <w:jc w:val="both"/>
        <w:rPr>
          <w:rFonts w:eastAsia="Times New Roman"/>
          <w:color w:val="000000"/>
        </w:rPr>
      </w:pPr>
    </w:p>
    <w:p w14:paraId="2BC9EF61" w14:textId="1B53A86A" w:rsidR="00321141" w:rsidRPr="008D3BD2" w:rsidRDefault="00321141" w:rsidP="008D3BD2">
      <w:pPr>
        <w:pStyle w:val="ListParagraph"/>
        <w:numPr>
          <w:ilvl w:val="0"/>
          <w:numId w:val="1"/>
        </w:numPr>
        <w:spacing w:after="160"/>
        <w:jc w:val="both"/>
        <w:rPr>
          <w:b/>
          <w:bCs/>
        </w:rPr>
      </w:pPr>
      <w:r w:rsidRPr="008D3BD2">
        <w:rPr>
          <w:b/>
          <w:bCs/>
        </w:rPr>
        <w:lastRenderedPageBreak/>
        <w:t>Qualifications and Experience Requirements</w:t>
      </w:r>
      <w:r w:rsidR="00C857F3" w:rsidRPr="008D3BD2">
        <w:rPr>
          <w:b/>
          <w:bCs/>
        </w:rPr>
        <w:t>:</w:t>
      </w:r>
    </w:p>
    <w:p w14:paraId="49FCCE3C" w14:textId="4BB62867" w:rsidR="00321141" w:rsidRPr="00976655" w:rsidRDefault="00321141" w:rsidP="008D3BD2">
      <w:pPr>
        <w:spacing w:after="120" w:line="276" w:lineRule="auto"/>
        <w:jc w:val="both"/>
        <w:rPr>
          <w:bCs/>
        </w:rPr>
      </w:pPr>
      <w:r w:rsidRPr="00976655">
        <w:rPr>
          <w:bCs/>
        </w:rPr>
        <w:t xml:space="preserve">The Consultant should have the following qualifications and experience: </w:t>
      </w:r>
    </w:p>
    <w:p w14:paraId="645771DC" w14:textId="02084DC5" w:rsidR="005F2167" w:rsidRPr="00530B38" w:rsidRDefault="005F2167" w:rsidP="00530B38">
      <w:pPr>
        <w:pStyle w:val="ListParagraph"/>
        <w:numPr>
          <w:ilvl w:val="0"/>
          <w:numId w:val="12"/>
        </w:numPr>
        <w:spacing w:after="120" w:line="240" w:lineRule="auto"/>
        <w:ind w:left="1440" w:hanging="720"/>
        <w:contextualSpacing/>
        <w:jc w:val="both"/>
        <w:rPr>
          <w:rFonts w:eastAsia="Times New Roman"/>
          <w:bCs/>
          <w:color w:val="000000" w:themeColor="text1"/>
          <w:lang w:eastAsia="en-GB"/>
        </w:rPr>
      </w:pPr>
      <w:bookmarkStart w:id="2" w:name="_Hlk128986773"/>
      <w:r>
        <w:rPr>
          <w:rFonts w:eastAsia="Times New Roman"/>
          <w:bCs/>
          <w:color w:val="000000" w:themeColor="text1"/>
          <w:lang w:eastAsia="en-GB"/>
        </w:rPr>
        <w:t>At least a</w:t>
      </w:r>
      <w:r w:rsidRPr="00530B38">
        <w:rPr>
          <w:rFonts w:eastAsia="Times New Roman"/>
          <w:bCs/>
          <w:color w:val="000000" w:themeColor="text1"/>
          <w:lang w:eastAsia="en-GB"/>
        </w:rPr>
        <w:t xml:space="preserve"> </w:t>
      </w:r>
      <w:r w:rsidR="00A43D09">
        <w:rPr>
          <w:rFonts w:eastAsia="Times New Roman"/>
          <w:bCs/>
          <w:color w:val="000000" w:themeColor="text1"/>
          <w:lang w:eastAsia="en-GB"/>
        </w:rPr>
        <w:t>bachelor’s</w:t>
      </w:r>
      <w:r w:rsidR="009B0BF2" w:rsidRPr="00530B38">
        <w:rPr>
          <w:rFonts w:eastAsia="Times New Roman"/>
          <w:bCs/>
          <w:color w:val="000000" w:themeColor="text1"/>
          <w:lang w:eastAsia="en-GB"/>
        </w:rPr>
        <w:t xml:space="preserve"> degree in quantitative economics</w:t>
      </w:r>
      <w:r w:rsidRPr="00530B38">
        <w:rPr>
          <w:rFonts w:eastAsia="Times New Roman"/>
          <w:bCs/>
          <w:color w:val="000000" w:themeColor="text1"/>
          <w:lang w:eastAsia="en-GB"/>
        </w:rPr>
        <w:t>, Statistics, Econometrics, Business Administration, Finance, and Accounting or their equivalent from a recognized University.</w:t>
      </w:r>
      <w:r w:rsidR="005B195E" w:rsidRPr="005B195E">
        <w:t xml:space="preserve"> </w:t>
      </w:r>
      <w:r w:rsidR="005B195E" w:rsidRPr="005B195E">
        <w:rPr>
          <w:rFonts w:eastAsia="Times New Roman"/>
          <w:bCs/>
          <w:color w:val="000000" w:themeColor="text1"/>
          <w:lang w:eastAsia="en-GB"/>
        </w:rPr>
        <w:t>Any other post-graduate training in project management shall be an added advantage</w:t>
      </w:r>
      <w:r w:rsidR="005B195E">
        <w:rPr>
          <w:rFonts w:eastAsia="Times New Roman"/>
          <w:bCs/>
          <w:color w:val="000000" w:themeColor="text1"/>
          <w:lang w:eastAsia="en-GB"/>
        </w:rPr>
        <w:t>.</w:t>
      </w:r>
    </w:p>
    <w:p w14:paraId="6EC146CF" w14:textId="3944719B" w:rsidR="005F2167" w:rsidRPr="00530B38" w:rsidRDefault="005F2167" w:rsidP="00530B38">
      <w:pPr>
        <w:pStyle w:val="ListParagraph"/>
        <w:numPr>
          <w:ilvl w:val="0"/>
          <w:numId w:val="12"/>
        </w:numPr>
        <w:spacing w:after="120" w:line="240" w:lineRule="auto"/>
        <w:ind w:left="1440" w:hanging="720"/>
        <w:contextualSpacing/>
        <w:jc w:val="both"/>
        <w:rPr>
          <w:rFonts w:eastAsia="Times New Roman"/>
          <w:bCs/>
          <w:color w:val="000000" w:themeColor="text1"/>
          <w:lang w:eastAsia="en-GB"/>
        </w:rPr>
      </w:pPr>
      <w:r w:rsidRPr="00530B38">
        <w:rPr>
          <w:rFonts w:eastAsia="Times New Roman"/>
          <w:bCs/>
          <w:color w:val="000000" w:themeColor="text1"/>
          <w:lang w:eastAsia="en-GB"/>
        </w:rPr>
        <w:t xml:space="preserve">He/she will possess at least 5 years of experience in </w:t>
      </w:r>
      <w:r w:rsidRPr="005F2167">
        <w:rPr>
          <w:rFonts w:eastAsia="Times New Roman"/>
          <w:bCs/>
          <w:color w:val="000000" w:themeColor="text1"/>
          <w:lang w:eastAsia="en-GB"/>
        </w:rPr>
        <w:t>public</w:t>
      </w:r>
      <w:r w:rsidRPr="00530B38">
        <w:rPr>
          <w:rFonts w:eastAsia="Times New Roman"/>
          <w:bCs/>
          <w:color w:val="000000" w:themeColor="text1"/>
          <w:lang w:eastAsia="en-GB"/>
        </w:rPr>
        <w:t xml:space="preserve"> sector, International Development </w:t>
      </w:r>
      <w:r>
        <w:rPr>
          <w:rFonts w:eastAsia="Times New Roman"/>
          <w:bCs/>
          <w:color w:val="000000" w:themeColor="text1"/>
          <w:lang w:eastAsia="en-GB"/>
        </w:rPr>
        <w:t>Agencies</w:t>
      </w:r>
      <w:r w:rsidRPr="005F2167">
        <w:rPr>
          <w:rFonts w:eastAsia="Times New Roman"/>
          <w:bCs/>
          <w:color w:val="000000" w:themeColor="text1"/>
          <w:lang w:eastAsia="en-GB"/>
        </w:rPr>
        <w:t>, or</w:t>
      </w:r>
      <w:r w:rsidRPr="00530B38">
        <w:rPr>
          <w:rFonts w:eastAsia="Times New Roman"/>
          <w:bCs/>
          <w:color w:val="000000" w:themeColor="text1"/>
          <w:lang w:eastAsia="en-GB"/>
        </w:rPr>
        <w:t xml:space="preserve"> Regulatory institutions in Sub-Saharan Africa or </w:t>
      </w:r>
      <w:r w:rsidR="00A43D09" w:rsidRPr="00530B38">
        <w:rPr>
          <w:rFonts w:eastAsia="Times New Roman"/>
          <w:bCs/>
          <w:color w:val="000000" w:themeColor="text1"/>
          <w:lang w:eastAsia="en-GB"/>
        </w:rPr>
        <w:t>another</w:t>
      </w:r>
      <w:r w:rsidRPr="00530B38">
        <w:rPr>
          <w:rFonts w:eastAsia="Times New Roman"/>
          <w:bCs/>
          <w:color w:val="000000" w:themeColor="text1"/>
          <w:lang w:eastAsia="en-GB"/>
        </w:rPr>
        <w:t xml:space="preserve"> similar Emerging Economy.</w:t>
      </w:r>
    </w:p>
    <w:p w14:paraId="07C670C8" w14:textId="19C23F6B" w:rsidR="005F2167" w:rsidRPr="00530B38" w:rsidRDefault="00B94033" w:rsidP="00530B38">
      <w:pPr>
        <w:pStyle w:val="ListParagraph"/>
        <w:numPr>
          <w:ilvl w:val="0"/>
          <w:numId w:val="12"/>
        </w:numPr>
        <w:spacing w:after="120" w:line="240" w:lineRule="auto"/>
        <w:ind w:left="1440" w:hanging="720"/>
        <w:contextualSpacing/>
        <w:jc w:val="both"/>
        <w:rPr>
          <w:rFonts w:eastAsia="Times New Roman"/>
          <w:bCs/>
          <w:color w:val="000000" w:themeColor="text1"/>
          <w:lang w:eastAsia="en-GB"/>
        </w:rPr>
      </w:pPr>
      <w:r>
        <w:rPr>
          <w:rFonts w:eastAsia="Times New Roman"/>
          <w:bCs/>
          <w:color w:val="000000" w:themeColor="text1"/>
          <w:lang w:eastAsia="en-GB"/>
        </w:rPr>
        <w:t>Demonstrated practical experience</w:t>
      </w:r>
      <w:r w:rsidR="005F2167" w:rsidRPr="00530B38">
        <w:rPr>
          <w:rFonts w:eastAsia="Times New Roman"/>
          <w:bCs/>
          <w:color w:val="000000" w:themeColor="text1"/>
          <w:lang w:eastAsia="en-GB"/>
        </w:rPr>
        <w:t xml:space="preserve"> in </w:t>
      </w:r>
      <w:r w:rsidR="005B195E">
        <w:rPr>
          <w:rFonts w:eastAsia="Times New Roman"/>
          <w:bCs/>
          <w:color w:val="000000" w:themeColor="text1"/>
          <w:lang w:eastAsia="en-GB"/>
        </w:rPr>
        <w:t xml:space="preserve">power systems demand forecasting and econometrics, </w:t>
      </w:r>
      <w:r w:rsidR="005F2167" w:rsidRPr="00530B38">
        <w:rPr>
          <w:rFonts w:eastAsia="Times New Roman"/>
          <w:bCs/>
          <w:color w:val="000000" w:themeColor="text1"/>
          <w:lang w:eastAsia="en-GB"/>
        </w:rPr>
        <w:t>modeling, tariff structuring, and related analyses</w:t>
      </w:r>
      <w:r w:rsidR="005B195E">
        <w:rPr>
          <w:rFonts w:eastAsia="Times New Roman"/>
          <w:bCs/>
          <w:color w:val="000000" w:themeColor="text1"/>
          <w:lang w:eastAsia="en-GB"/>
        </w:rPr>
        <w:t>.</w:t>
      </w:r>
    </w:p>
    <w:p w14:paraId="7D10B991" w14:textId="1374C284" w:rsidR="005F2167" w:rsidRPr="00530B38" w:rsidRDefault="005F2167" w:rsidP="00530B38">
      <w:pPr>
        <w:pStyle w:val="ListParagraph"/>
        <w:numPr>
          <w:ilvl w:val="0"/>
          <w:numId w:val="12"/>
        </w:numPr>
        <w:spacing w:after="120" w:line="240" w:lineRule="auto"/>
        <w:ind w:left="1440" w:hanging="720"/>
        <w:contextualSpacing/>
        <w:jc w:val="both"/>
        <w:rPr>
          <w:rFonts w:eastAsia="Times New Roman"/>
          <w:bCs/>
          <w:color w:val="000000" w:themeColor="text1"/>
          <w:lang w:eastAsia="en-GB"/>
        </w:rPr>
      </w:pPr>
      <w:r w:rsidRPr="00530B38">
        <w:rPr>
          <w:rFonts w:eastAsia="Times New Roman"/>
          <w:bCs/>
          <w:color w:val="000000" w:themeColor="text1"/>
          <w:lang w:eastAsia="en-GB"/>
        </w:rPr>
        <w:t xml:space="preserve">Membership/Affiliation with a related professional body </w:t>
      </w:r>
      <w:r>
        <w:rPr>
          <w:rFonts w:eastAsia="Times New Roman"/>
          <w:bCs/>
          <w:color w:val="000000" w:themeColor="text1"/>
          <w:lang w:eastAsia="en-GB"/>
        </w:rPr>
        <w:t>shall</w:t>
      </w:r>
      <w:r w:rsidRPr="00530B38">
        <w:rPr>
          <w:rFonts w:eastAsia="Times New Roman"/>
          <w:bCs/>
          <w:color w:val="000000" w:themeColor="text1"/>
          <w:lang w:eastAsia="en-GB"/>
        </w:rPr>
        <w:t xml:space="preserve"> be an added advantage. </w:t>
      </w:r>
    </w:p>
    <w:p w14:paraId="05ABFD85" w14:textId="50CF9E7B" w:rsidR="005F2167" w:rsidRPr="00530B38" w:rsidRDefault="005B195E" w:rsidP="00530B38">
      <w:pPr>
        <w:pStyle w:val="ListParagraph"/>
        <w:numPr>
          <w:ilvl w:val="0"/>
          <w:numId w:val="12"/>
        </w:numPr>
        <w:spacing w:after="120" w:line="240" w:lineRule="auto"/>
        <w:ind w:left="1440" w:hanging="720"/>
        <w:contextualSpacing/>
        <w:jc w:val="both"/>
        <w:rPr>
          <w:rFonts w:eastAsia="Times New Roman"/>
          <w:bCs/>
          <w:color w:val="000000" w:themeColor="text1"/>
          <w:lang w:eastAsia="en-GB"/>
        </w:rPr>
      </w:pPr>
      <w:r>
        <w:rPr>
          <w:rFonts w:eastAsia="Times New Roman"/>
          <w:bCs/>
          <w:color w:val="000000" w:themeColor="text1"/>
          <w:lang w:eastAsia="en-GB"/>
        </w:rPr>
        <w:t xml:space="preserve">Demonstrated practical experience in </w:t>
      </w:r>
      <w:r w:rsidR="00F84C9D">
        <w:rPr>
          <w:rFonts w:eastAsia="Times New Roman"/>
          <w:bCs/>
          <w:color w:val="000000" w:themeColor="text1"/>
          <w:lang w:eastAsia="en-GB"/>
        </w:rPr>
        <w:t>projects</w:t>
      </w:r>
      <w:r w:rsidR="005F2167" w:rsidRPr="00530B38">
        <w:rPr>
          <w:rFonts w:eastAsia="Times New Roman"/>
          <w:bCs/>
          <w:color w:val="000000" w:themeColor="text1"/>
          <w:lang w:eastAsia="en-GB"/>
        </w:rPr>
        <w:t xml:space="preserve"> monitoring and </w:t>
      </w:r>
      <w:r w:rsidR="00F84C9D">
        <w:rPr>
          <w:rFonts w:eastAsia="Times New Roman"/>
          <w:bCs/>
          <w:color w:val="000000" w:themeColor="text1"/>
          <w:lang w:eastAsia="en-GB"/>
        </w:rPr>
        <w:t>evaluation.</w:t>
      </w:r>
    </w:p>
    <w:p w14:paraId="322984F3" w14:textId="6D1DB70E" w:rsidR="005F2167" w:rsidRPr="00530B38" w:rsidRDefault="005F2167" w:rsidP="00530B38">
      <w:pPr>
        <w:pStyle w:val="ListParagraph"/>
        <w:numPr>
          <w:ilvl w:val="0"/>
          <w:numId w:val="12"/>
        </w:numPr>
        <w:spacing w:after="120" w:line="240" w:lineRule="auto"/>
        <w:ind w:left="1440" w:hanging="720"/>
        <w:contextualSpacing/>
        <w:jc w:val="both"/>
        <w:rPr>
          <w:rFonts w:eastAsia="Times New Roman"/>
          <w:bCs/>
          <w:color w:val="000000" w:themeColor="text1"/>
          <w:lang w:eastAsia="en-GB"/>
        </w:rPr>
      </w:pPr>
      <w:r w:rsidRPr="00530B38">
        <w:rPr>
          <w:rFonts w:eastAsia="Times New Roman"/>
          <w:bCs/>
          <w:color w:val="000000" w:themeColor="text1"/>
          <w:lang w:eastAsia="en-GB"/>
        </w:rPr>
        <w:t xml:space="preserve">Knowledge of electricity systems, particularly renewable energy, transmission, and distribution systems </w:t>
      </w:r>
      <w:r w:rsidR="00F84C9D">
        <w:rPr>
          <w:rFonts w:eastAsia="Times New Roman"/>
          <w:bCs/>
          <w:color w:val="000000" w:themeColor="text1"/>
          <w:lang w:eastAsia="en-GB"/>
        </w:rPr>
        <w:t>shall</w:t>
      </w:r>
      <w:r w:rsidRPr="00530B38">
        <w:rPr>
          <w:rFonts w:eastAsia="Times New Roman"/>
          <w:bCs/>
          <w:color w:val="000000" w:themeColor="text1"/>
          <w:lang w:eastAsia="en-GB"/>
        </w:rPr>
        <w:t xml:space="preserve"> be an added advantage.</w:t>
      </w:r>
    </w:p>
    <w:p w14:paraId="4F762EAD" w14:textId="6438DA51" w:rsidR="00321141" w:rsidRDefault="00321141" w:rsidP="00530B38">
      <w:pPr>
        <w:pStyle w:val="ListParagraph"/>
        <w:numPr>
          <w:ilvl w:val="0"/>
          <w:numId w:val="12"/>
        </w:numPr>
        <w:spacing w:line="240" w:lineRule="auto"/>
        <w:ind w:left="1440" w:hanging="720"/>
        <w:contextualSpacing/>
      </w:pPr>
      <w:bookmarkStart w:id="3" w:name="_Hlk118295162"/>
      <w:bookmarkEnd w:id="2"/>
      <w:r w:rsidRPr="00E131E1">
        <w:t xml:space="preserve">Fluency in Somali language and English (oral and written). </w:t>
      </w:r>
    </w:p>
    <w:p w14:paraId="57F4DCEC" w14:textId="77777777" w:rsidR="000E6FD7" w:rsidRDefault="000E6FD7" w:rsidP="000E6FD7">
      <w:pPr>
        <w:ind w:left="360"/>
        <w:jc w:val="both"/>
        <w:rPr>
          <w:bCs/>
        </w:rPr>
      </w:pPr>
    </w:p>
    <w:bookmarkEnd w:id="3"/>
    <w:p w14:paraId="4514DB2E" w14:textId="004C8C54" w:rsidR="009B4A95" w:rsidRPr="008D3BD2" w:rsidRDefault="009B4A95" w:rsidP="008D3BD2">
      <w:pPr>
        <w:pStyle w:val="ListParagraph"/>
        <w:numPr>
          <w:ilvl w:val="0"/>
          <w:numId w:val="1"/>
        </w:numPr>
        <w:spacing w:after="160"/>
        <w:jc w:val="both"/>
        <w:rPr>
          <w:b/>
          <w:bCs/>
        </w:rPr>
      </w:pPr>
      <w:r w:rsidRPr="008D3BD2">
        <w:rPr>
          <w:b/>
          <w:bCs/>
        </w:rPr>
        <w:t>Assignment Location</w:t>
      </w:r>
      <w:r w:rsidR="00C857F3" w:rsidRPr="008D3BD2">
        <w:rPr>
          <w:b/>
          <w:bCs/>
        </w:rPr>
        <w:t>:</w:t>
      </w:r>
    </w:p>
    <w:p w14:paraId="7D5DD547" w14:textId="46F5C976" w:rsidR="00C90783" w:rsidRPr="00976655" w:rsidRDefault="00791FF4" w:rsidP="008D3BD2">
      <w:pPr>
        <w:spacing w:after="160" w:line="276" w:lineRule="auto"/>
        <w:jc w:val="both"/>
        <w:rPr>
          <w:bCs/>
        </w:rPr>
      </w:pPr>
      <w:r w:rsidRPr="00976655">
        <w:rPr>
          <w:bCs/>
        </w:rPr>
        <w:t xml:space="preserve">The </w:t>
      </w:r>
      <w:r w:rsidR="004F56F2" w:rsidRPr="00976655">
        <w:rPr>
          <w:bCs/>
          <w:color w:val="373A3C"/>
        </w:rPr>
        <w:t xml:space="preserve">Economic </w:t>
      </w:r>
      <w:r w:rsidR="00A671B5" w:rsidRPr="00976655">
        <w:rPr>
          <w:bCs/>
          <w:color w:val="373A3C"/>
        </w:rPr>
        <w:t>Regulation Advisor</w:t>
      </w:r>
      <w:r w:rsidR="00A671B5" w:rsidRPr="00976655" w:rsidDel="00A671B5">
        <w:rPr>
          <w:bCs/>
        </w:rPr>
        <w:t xml:space="preserve"> </w:t>
      </w:r>
      <w:r w:rsidR="009B4A95" w:rsidRPr="00976655">
        <w:rPr>
          <w:bCs/>
        </w:rPr>
        <w:t xml:space="preserve">will be based </w:t>
      </w:r>
      <w:r w:rsidR="000D7F31" w:rsidRPr="00976655">
        <w:rPr>
          <w:bCs/>
        </w:rPr>
        <w:t>at the</w:t>
      </w:r>
      <w:r w:rsidR="009B4A95" w:rsidRPr="00976655">
        <w:rPr>
          <w:bCs/>
        </w:rPr>
        <w:t xml:space="preserve"> </w:t>
      </w:r>
      <w:r w:rsidR="00CD54CC">
        <w:rPr>
          <w:bCs/>
        </w:rPr>
        <w:t xml:space="preserve">National Electricity Authority (NEA) </w:t>
      </w:r>
      <w:r w:rsidR="009B4A95" w:rsidRPr="00976655">
        <w:rPr>
          <w:bCs/>
        </w:rPr>
        <w:t xml:space="preserve">Headquarters in Mogadishu and </w:t>
      </w:r>
      <w:r w:rsidR="004F56F2" w:rsidRPr="00976655">
        <w:rPr>
          <w:bCs/>
        </w:rPr>
        <w:t>may frequently travel out-field for compliance and consultative visits with Service providers and other stakeholders</w:t>
      </w:r>
      <w:r w:rsidR="009B4A95" w:rsidRPr="00976655">
        <w:rPr>
          <w:bCs/>
        </w:rPr>
        <w:t xml:space="preserve">. </w:t>
      </w:r>
    </w:p>
    <w:p w14:paraId="698DB500" w14:textId="6E9C80E5" w:rsidR="009B4A95" w:rsidRPr="008D3BD2" w:rsidRDefault="009B4A95" w:rsidP="008D3BD2">
      <w:pPr>
        <w:pStyle w:val="ListParagraph"/>
        <w:numPr>
          <w:ilvl w:val="0"/>
          <w:numId w:val="1"/>
        </w:numPr>
        <w:spacing w:after="120"/>
        <w:jc w:val="both"/>
        <w:rPr>
          <w:b/>
          <w:bCs/>
        </w:rPr>
      </w:pPr>
      <w:r w:rsidRPr="008D3BD2">
        <w:rPr>
          <w:b/>
          <w:bCs/>
        </w:rPr>
        <w:t>Time frame and Reporting</w:t>
      </w:r>
      <w:r w:rsidR="00C857F3" w:rsidRPr="008D3BD2">
        <w:rPr>
          <w:b/>
          <w:bCs/>
        </w:rPr>
        <w:t>:</w:t>
      </w:r>
    </w:p>
    <w:p w14:paraId="668C5B3E" w14:textId="4ED40496" w:rsidR="009B4A95" w:rsidRPr="00976655" w:rsidRDefault="009B4A95" w:rsidP="008D3BD2">
      <w:pPr>
        <w:spacing w:after="120" w:line="276" w:lineRule="auto"/>
        <w:jc w:val="both"/>
        <w:rPr>
          <w:bCs/>
        </w:rPr>
      </w:pPr>
      <w:r w:rsidRPr="00976655">
        <w:rPr>
          <w:bCs/>
        </w:rPr>
        <w:t xml:space="preserve">The expected duration of the consultancy is </w:t>
      </w:r>
      <w:r w:rsidR="0021177D">
        <w:rPr>
          <w:bCs/>
        </w:rPr>
        <w:t>two</w:t>
      </w:r>
      <w:r w:rsidR="0021177D" w:rsidRPr="00976655">
        <w:rPr>
          <w:bCs/>
        </w:rPr>
        <w:t xml:space="preserve"> </w:t>
      </w:r>
      <w:r w:rsidR="004F56F2" w:rsidRPr="00976655">
        <w:rPr>
          <w:bCs/>
        </w:rPr>
        <w:t>(</w:t>
      </w:r>
      <w:r w:rsidR="0021177D">
        <w:rPr>
          <w:bCs/>
        </w:rPr>
        <w:t>2</w:t>
      </w:r>
      <w:r w:rsidR="004F56F2" w:rsidRPr="00976655">
        <w:rPr>
          <w:bCs/>
        </w:rPr>
        <w:t>)</w:t>
      </w:r>
      <w:r w:rsidR="002D2459" w:rsidRPr="00976655">
        <w:rPr>
          <w:bCs/>
        </w:rPr>
        <w:t xml:space="preserve"> </w:t>
      </w:r>
      <w:r w:rsidR="00D731DB" w:rsidRPr="00976655">
        <w:rPr>
          <w:bCs/>
        </w:rPr>
        <w:t>year</w:t>
      </w:r>
      <w:r w:rsidR="0021177D">
        <w:rPr>
          <w:bCs/>
        </w:rPr>
        <w:t>s</w:t>
      </w:r>
      <w:r w:rsidRPr="00976655">
        <w:rPr>
          <w:bCs/>
        </w:rPr>
        <w:t>, subject to satisfactory performance</w:t>
      </w:r>
      <w:r w:rsidR="000E6FD7">
        <w:rPr>
          <w:bCs/>
        </w:rPr>
        <w:t xml:space="preserve"> </w:t>
      </w:r>
      <w:r w:rsidR="0021177D">
        <w:rPr>
          <w:bCs/>
        </w:rPr>
        <w:t>during the first year</w:t>
      </w:r>
      <w:r w:rsidR="00180FEA">
        <w:rPr>
          <w:bCs/>
        </w:rPr>
        <w:t xml:space="preserve"> </w:t>
      </w:r>
      <w:r w:rsidR="000E6FD7">
        <w:rPr>
          <w:bCs/>
        </w:rPr>
        <w:t xml:space="preserve">and </w:t>
      </w:r>
      <w:r w:rsidR="00366C64">
        <w:rPr>
          <w:bCs/>
        </w:rPr>
        <w:t>the need for the services</w:t>
      </w:r>
      <w:r w:rsidRPr="00976655">
        <w:rPr>
          <w:bCs/>
        </w:rPr>
        <w:t xml:space="preserve">. The assignment is expected to </w:t>
      </w:r>
      <w:r w:rsidRPr="00976655">
        <w:rPr>
          <w:bCs/>
          <w:color w:val="000000" w:themeColor="text1"/>
        </w:rPr>
        <w:t xml:space="preserve">commence </w:t>
      </w:r>
      <w:r w:rsidR="00CA68F8" w:rsidRPr="00976655">
        <w:rPr>
          <w:bCs/>
          <w:color w:val="000000" w:themeColor="text1"/>
        </w:rPr>
        <w:t>in</w:t>
      </w:r>
      <w:r w:rsidR="000B0AC0" w:rsidRPr="00976655">
        <w:rPr>
          <w:bCs/>
          <w:color w:val="000000" w:themeColor="text1"/>
        </w:rPr>
        <w:t xml:space="preserve"> </w:t>
      </w:r>
      <w:r w:rsidR="00366C64">
        <w:rPr>
          <w:bCs/>
          <w:color w:val="000000" w:themeColor="text1"/>
        </w:rPr>
        <w:t xml:space="preserve">November </w:t>
      </w:r>
      <w:r w:rsidR="000C1726">
        <w:rPr>
          <w:bCs/>
          <w:color w:val="000000" w:themeColor="text1"/>
        </w:rPr>
        <w:t>2024.</w:t>
      </w:r>
    </w:p>
    <w:p w14:paraId="31954233" w14:textId="30F12143" w:rsidR="009B4A95" w:rsidRPr="00976655" w:rsidRDefault="009B4A95" w:rsidP="008D3BD2">
      <w:pPr>
        <w:spacing w:line="276" w:lineRule="auto"/>
        <w:jc w:val="both"/>
        <w:rPr>
          <w:bCs/>
        </w:rPr>
      </w:pPr>
      <w:r w:rsidRPr="00976655">
        <w:rPr>
          <w:bCs/>
        </w:rPr>
        <w:t>The consultant will report to the</w:t>
      </w:r>
      <w:r w:rsidR="00A671B5" w:rsidRPr="00976655">
        <w:rPr>
          <w:bCs/>
        </w:rPr>
        <w:t xml:space="preserve"> Director General of </w:t>
      </w:r>
      <w:r w:rsidR="000D7F31" w:rsidRPr="00976655">
        <w:rPr>
          <w:bCs/>
        </w:rPr>
        <w:t xml:space="preserve">the </w:t>
      </w:r>
      <w:r w:rsidR="000C1726">
        <w:rPr>
          <w:bCs/>
        </w:rPr>
        <w:t>National Electricity Authority</w:t>
      </w:r>
      <w:r w:rsidR="00CD54CC">
        <w:rPr>
          <w:bCs/>
        </w:rPr>
        <w:t xml:space="preserve"> (NEA)</w:t>
      </w:r>
      <w:r w:rsidR="000C1726">
        <w:rPr>
          <w:bCs/>
        </w:rPr>
        <w:t xml:space="preserve"> </w:t>
      </w:r>
      <w:r w:rsidR="00CA68F8" w:rsidRPr="00976655">
        <w:rPr>
          <w:bCs/>
        </w:rPr>
        <w:t>and</w:t>
      </w:r>
      <w:r w:rsidRPr="00976655">
        <w:rPr>
          <w:bCs/>
        </w:rPr>
        <w:t xml:space="preserve"> work closely with </w:t>
      </w:r>
      <w:r w:rsidR="00A671B5" w:rsidRPr="00976655">
        <w:rPr>
          <w:bCs/>
        </w:rPr>
        <w:t xml:space="preserve">the </w:t>
      </w:r>
      <w:r w:rsidR="00025ABB" w:rsidRPr="00976655">
        <w:rPr>
          <w:bCs/>
        </w:rPr>
        <w:t>Ministry</w:t>
      </w:r>
      <w:r w:rsidR="000C1726">
        <w:rPr>
          <w:bCs/>
        </w:rPr>
        <w:t xml:space="preserve"> of Energy and Water Resources</w:t>
      </w:r>
      <w:r w:rsidR="00366C64">
        <w:rPr>
          <w:bCs/>
        </w:rPr>
        <w:t xml:space="preserve"> and other sector stakeholders such as Feder</w:t>
      </w:r>
      <w:r w:rsidR="00CC27D7">
        <w:rPr>
          <w:bCs/>
        </w:rPr>
        <w:t>al Member States and ESPs</w:t>
      </w:r>
      <w:r w:rsidR="000C1726">
        <w:rPr>
          <w:bCs/>
        </w:rPr>
        <w:t xml:space="preserve">. </w:t>
      </w:r>
      <w:r w:rsidR="00A671B5" w:rsidRPr="00976655">
        <w:rPr>
          <w:bCs/>
        </w:rPr>
        <w:t xml:space="preserve"> </w:t>
      </w:r>
    </w:p>
    <w:p w14:paraId="01880B64" w14:textId="77777777" w:rsidR="006734A9" w:rsidRPr="00976655" w:rsidRDefault="006734A9" w:rsidP="008D3BD2">
      <w:pPr>
        <w:spacing w:line="276" w:lineRule="auto"/>
        <w:jc w:val="both"/>
        <w:rPr>
          <w:bCs/>
        </w:rPr>
      </w:pPr>
    </w:p>
    <w:p w14:paraId="6D5F9E70" w14:textId="6CC23B97" w:rsidR="009B4A95" w:rsidRPr="008D3BD2" w:rsidRDefault="009B4A95" w:rsidP="008D3BD2">
      <w:pPr>
        <w:pStyle w:val="ListParagraph"/>
        <w:numPr>
          <w:ilvl w:val="0"/>
          <w:numId w:val="1"/>
        </w:numPr>
        <w:spacing w:after="120"/>
        <w:jc w:val="both"/>
        <w:rPr>
          <w:b/>
          <w:bCs/>
        </w:rPr>
      </w:pPr>
      <w:r w:rsidRPr="008D3BD2">
        <w:rPr>
          <w:b/>
          <w:bCs/>
        </w:rPr>
        <w:t>Inputs/</w:t>
      </w:r>
      <w:r w:rsidR="004F56F2" w:rsidRPr="008D3BD2">
        <w:rPr>
          <w:b/>
          <w:bCs/>
        </w:rPr>
        <w:t>facilities</w:t>
      </w:r>
      <w:r w:rsidRPr="008D3BD2">
        <w:rPr>
          <w:b/>
          <w:bCs/>
        </w:rPr>
        <w:t xml:space="preserve"> provided by the Client</w:t>
      </w:r>
      <w:r w:rsidR="00C857F3" w:rsidRPr="008D3BD2">
        <w:rPr>
          <w:b/>
          <w:bCs/>
        </w:rPr>
        <w:t>:</w:t>
      </w:r>
    </w:p>
    <w:p w14:paraId="05819109" w14:textId="24635BDC" w:rsidR="00C57A6C" w:rsidRPr="00976655" w:rsidRDefault="009B4A95" w:rsidP="008D3BD2">
      <w:pPr>
        <w:spacing w:line="276" w:lineRule="auto"/>
        <w:jc w:val="both"/>
      </w:pPr>
      <w:r w:rsidRPr="00976655">
        <w:rPr>
          <w:rFonts w:eastAsia="Times New Roman"/>
        </w:rPr>
        <w:t xml:space="preserve">The client will provide office space with </w:t>
      </w:r>
      <w:r w:rsidR="008D3BD2" w:rsidRPr="00976655">
        <w:rPr>
          <w:rFonts w:eastAsia="Times New Roman"/>
        </w:rPr>
        <w:t>the necessary</w:t>
      </w:r>
      <w:r w:rsidRPr="00976655">
        <w:rPr>
          <w:rFonts w:eastAsia="Times New Roman"/>
        </w:rPr>
        <w:t xml:space="preserve"> furniture</w:t>
      </w:r>
      <w:r w:rsidR="00A26A42" w:rsidRPr="00976655">
        <w:rPr>
          <w:rFonts w:eastAsia="Times New Roman"/>
        </w:rPr>
        <w:t>,</w:t>
      </w:r>
      <w:r w:rsidR="00F3462C" w:rsidRPr="00976655">
        <w:rPr>
          <w:rFonts w:eastAsia="Times New Roman"/>
        </w:rPr>
        <w:t xml:space="preserve"> IT </w:t>
      </w:r>
      <w:r w:rsidR="00165ED9" w:rsidRPr="00976655">
        <w:rPr>
          <w:rFonts w:eastAsia="Times New Roman"/>
        </w:rPr>
        <w:t>equipment</w:t>
      </w:r>
      <w:r w:rsidR="004F56F2" w:rsidRPr="00976655">
        <w:rPr>
          <w:rFonts w:eastAsia="Times New Roman"/>
        </w:rPr>
        <w:t>,</w:t>
      </w:r>
      <w:r w:rsidRPr="00976655">
        <w:rPr>
          <w:rFonts w:eastAsia="Times New Roman"/>
        </w:rPr>
        <w:t xml:space="preserve"> and other facilities such as </w:t>
      </w:r>
      <w:r w:rsidR="008D3BD2" w:rsidRPr="00976655">
        <w:rPr>
          <w:rFonts w:eastAsia="Times New Roman"/>
        </w:rPr>
        <w:t>a printing</w:t>
      </w:r>
      <w:r w:rsidRPr="00976655">
        <w:rPr>
          <w:rFonts w:eastAsia="Times New Roman"/>
        </w:rPr>
        <w:t xml:space="preserve"> facility etc. to enable the consultant to perform day-to-day work. The Client shall also provide soft and hard copies of any exis</w:t>
      </w:r>
      <w:r w:rsidR="00304952" w:rsidRPr="00976655">
        <w:rPr>
          <w:rFonts w:eastAsia="Times New Roman"/>
        </w:rPr>
        <w:t xml:space="preserve">ting relevant </w:t>
      </w:r>
      <w:r w:rsidR="00A671B5" w:rsidRPr="00976655">
        <w:rPr>
          <w:rFonts w:eastAsia="Times New Roman"/>
        </w:rPr>
        <w:t xml:space="preserve">ministry </w:t>
      </w:r>
      <w:r w:rsidR="00304952" w:rsidRPr="00976655">
        <w:rPr>
          <w:rFonts w:eastAsia="Times New Roman"/>
        </w:rPr>
        <w:t>project documen</w:t>
      </w:r>
      <w:r w:rsidR="00A26A42" w:rsidRPr="00976655">
        <w:rPr>
          <w:rFonts w:eastAsia="Times New Roman"/>
        </w:rPr>
        <w:t>t</w:t>
      </w:r>
      <w:bookmarkEnd w:id="0"/>
      <w:r w:rsidR="00A671B5" w:rsidRPr="00976655">
        <w:rPr>
          <w:rFonts w:eastAsia="Times New Roman"/>
        </w:rPr>
        <w:t>s</w:t>
      </w:r>
      <w:r w:rsidR="008E2747" w:rsidRPr="00976655">
        <w:rPr>
          <w:rFonts w:eastAsia="Times New Roman"/>
        </w:rPr>
        <w:t>.</w:t>
      </w:r>
    </w:p>
    <w:sectPr w:rsidR="00C57A6C" w:rsidRPr="00976655" w:rsidSect="00FB203C">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7AEC0" w14:textId="77777777" w:rsidR="006F539C" w:rsidRDefault="006F539C" w:rsidP="008B687F">
      <w:r>
        <w:separator/>
      </w:r>
    </w:p>
  </w:endnote>
  <w:endnote w:type="continuationSeparator" w:id="0">
    <w:p w14:paraId="1E9327A2" w14:textId="77777777" w:rsidR="006F539C" w:rsidRDefault="006F539C" w:rsidP="008B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C3D25" w14:textId="77777777" w:rsidR="006F539C" w:rsidRDefault="006F539C" w:rsidP="008B687F">
      <w:r>
        <w:separator/>
      </w:r>
    </w:p>
  </w:footnote>
  <w:footnote w:type="continuationSeparator" w:id="0">
    <w:p w14:paraId="75ACD48A" w14:textId="77777777" w:rsidR="006F539C" w:rsidRDefault="006F539C" w:rsidP="008B6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0B32"/>
    <w:multiLevelType w:val="hybridMultilevel"/>
    <w:tmpl w:val="54F0F4E6"/>
    <w:lvl w:ilvl="0" w:tplc="43381D90">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5F754E"/>
    <w:multiLevelType w:val="hybridMultilevel"/>
    <w:tmpl w:val="1520BF4E"/>
    <w:lvl w:ilvl="0" w:tplc="CD20B93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6B4C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966039"/>
    <w:multiLevelType w:val="hybridMultilevel"/>
    <w:tmpl w:val="3A40FCE4"/>
    <w:lvl w:ilvl="0" w:tplc="0409000F">
      <w:start w:val="1"/>
      <w:numFmt w:val="decimal"/>
      <w:lvlText w:val="%1."/>
      <w:lvlJc w:val="left"/>
      <w:pPr>
        <w:ind w:left="990" w:hanging="360"/>
      </w:pPr>
      <w:rPr>
        <w:rFonts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4" w15:restartNumberingAfterBreak="0">
    <w:nsid w:val="1AF13C4F"/>
    <w:multiLevelType w:val="hybridMultilevel"/>
    <w:tmpl w:val="B71EA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A1276"/>
    <w:multiLevelType w:val="hybridMultilevel"/>
    <w:tmpl w:val="EDFEBB46"/>
    <w:lvl w:ilvl="0" w:tplc="CD20B9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E3CB4"/>
    <w:multiLevelType w:val="hybridMultilevel"/>
    <w:tmpl w:val="1F0A2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E1583"/>
    <w:multiLevelType w:val="hybridMultilevel"/>
    <w:tmpl w:val="571E75A2"/>
    <w:lvl w:ilvl="0" w:tplc="43381D9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85028E"/>
    <w:multiLevelType w:val="hybridMultilevel"/>
    <w:tmpl w:val="5A18AE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463A2"/>
    <w:multiLevelType w:val="hybridMultilevel"/>
    <w:tmpl w:val="AA74B324"/>
    <w:lvl w:ilvl="0" w:tplc="CD20B93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FA5F86"/>
    <w:multiLevelType w:val="hybridMultilevel"/>
    <w:tmpl w:val="DD405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215D7"/>
    <w:multiLevelType w:val="hybridMultilevel"/>
    <w:tmpl w:val="B6600298"/>
    <w:lvl w:ilvl="0" w:tplc="05D4EC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695684">
    <w:abstractNumId w:val="2"/>
  </w:num>
  <w:num w:numId="2" w16cid:durableId="872035467">
    <w:abstractNumId w:val="0"/>
  </w:num>
  <w:num w:numId="3" w16cid:durableId="1688867217">
    <w:abstractNumId w:val="7"/>
  </w:num>
  <w:num w:numId="4" w16cid:durableId="1146239307">
    <w:abstractNumId w:val="3"/>
  </w:num>
  <w:num w:numId="5" w16cid:durableId="1443501517">
    <w:abstractNumId w:val="4"/>
  </w:num>
  <w:num w:numId="6" w16cid:durableId="327103899">
    <w:abstractNumId w:val="6"/>
  </w:num>
  <w:num w:numId="7" w16cid:durableId="1065765394">
    <w:abstractNumId w:val="10"/>
  </w:num>
  <w:num w:numId="8" w16cid:durableId="1910915905">
    <w:abstractNumId w:val="8"/>
  </w:num>
  <w:num w:numId="9" w16cid:durableId="1917470419">
    <w:abstractNumId w:val="9"/>
  </w:num>
  <w:num w:numId="10" w16cid:durableId="1337004519">
    <w:abstractNumId w:val="11"/>
  </w:num>
  <w:num w:numId="11" w16cid:durableId="590819464">
    <w:abstractNumId w:val="1"/>
  </w:num>
  <w:num w:numId="12" w16cid:durableId="104610540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B8"/>
    <w:rsid w:val="0000240F"/>
    <w:rsid w:val="00014886"/>
    <w:rsid w:val="00015483"/>
    <w:rsid w:val="00016430"/>
    <w:rsid w:val="0002402C"/>
    <w:rsid w:val="00025ABB"/>
    <w:rsid w:val="00026BD4"/>
    <w:rsid w:val="00037AD8"/>
    <w:rsid w:val="00041347"/>
    <w:rsid w:val="000420B7"/>
    <w:rsid w:val="00060449"/>
    <w:rsid w:val="00066F92"/>
    <w:rsid w:val="00067536"/>
    <w:rsid w:val="00073E12"/>
    <w:rsid w:val="00082ADD"/>
    <w:rsid w:val="00090359"/>
    <w:rsid w:val="000908BA"/>
    <w:rsid w:val="00091269"/>
    <w:rsid w:val="000A0722"/>
    <w:rsid w:val="000A46C0"/>
    <w:rsid w:val="000A471E"/>
    <w:rsid w:val="000B0AC0"/>
    <w:rsid w:val="000B0B27"/>
    <w:rsid w:val="000B1BAD"/>
    <w:rsid w:val="000B4F08"/>
    <w:rsid w:val="000B671F"/>
    <w:rsid w:val="000B7BD4"/>
    <w:rsid w:val="000C1726"/>
    <w:rsid w:val="000C619C"/>
    <w:rsid w:val="000C7158"/>
    <w:rsid w:val="000D7F31"/>
    <w:rsid w:val="000E660E"/>
    <w:rsid w:val="000E6FD7"/>
    <w:rsid w:val="000F1828"/>
    <w:rsid w:val="000F306D"/>
    <w:rsid w:val="000F3A89"/>
    <w:rsid w:val="00100E44"/>
    <w:rsid w:val="001060E0"/>
    <w:rsid w:val="00106ECB"/>
    <w:rsid w:val="0011468D"/>
    <w:rsid w:val="0012222F"/>
    <w:rsid w:val="00134EE3"/>
    <w:rsid w:val="00136C24"/>
    <w:rsid w:val="00137CEC"/>
    <w:rsid w:val="00150442"/>
    <w:rsid w:val="001566C3"/>
    <w:rsid w:val="00165ED9"/>
    <w:rsid w:val="001720C2"/>
    <w:rsid w:val="00175F6D"/>
    <w:rsid w:val="00180FEA"/>
    <w:rsid w:val="00187BE7"/>
    <w:rsid w:val="00190923"/>
    <w:rsid w:val="001952C5"/>
    <w:rsid w:val="001B7B51"/>
    <w:rsid w:val="001D1453"/>
    <w:rsid w:val="001D40A3"/>
    <w:rsid w:val="001E2C09"/>
    <w:rsid w:val="001E43CB"/>
    <w:rsid w:val="001E4E8F"/>
    <w:rsid w:val="001E5FFB"/>
    <w:rsid w:val="001F16FA"/>
    <w:rsid w:val="00201025"/>
    <w:rsid w:val="00203726"/>
    <w:rsid w:val="00205ADE"/>
    <w:rsid w:val="0021177D"/>
    <w:rsid w:val="00212CFB"/>
    <w:rsid w:val="00217A23"/>
    <w:rsid w:val="00220189"/>
    <w:rsid w:val="00223A9E"/>
    <w:rsid w:val="002348BE"/>
    <w:rsid w:val="00242EAF"/>
    <w:rsid w:val="00243C3F"/>
    <w:rsid w:val="00250A03"/>
    <w:rsid w:val="00252F91"/>
    <w:rsid w:val="00256BD0"/>
    <w:rsid w:val="0025793E"/>
    <w:rsid w:val="00257D60"/>
    <w:rsid w:val="00265039"/>
    <w:rsid w:val="00267D2D"/>
    <w:rsid w:val="002878C5"/>
    <w:rsid w:val="002A2ABA"/>
    <w:rsid w:val="002B0219"/>
    <w:rsid w:val="002C3FAF"/>
    <w:rsid w:val="002C795C"/>
    <w:rsid w:val="002C7C9D"/>
    <w:rsid w:val="002D233B"/>
    <w:rsid w:val="002D2459"/>
    <w:rsid w:val="002E384D"/>
    <w:rsid w:val="002E3CE7"/>
    <w:rsid w:val="002F08B1"/>
    <w:rsid w:val="002F17F0"/>
    <w:rsid w:val="002F5660"/>
    <w:rsid w:val="002F6103"/>
    <w:rsid w:val="00302265"/>
    <w:rsid w:val="00304952"/>
    <w:rsid w:val="00314180"/>
    <w:rsid w:val="0031458A"/>
    <w:rsid w:val="0031649F"/>
    <w:rsid w:val="003170D3"/>
    <w:rsid w:val="00321141"/>
    <w:rsid w:val="0033229D"/>
    <w:rsid w:val="00333160"/>
    <w:rsid w:val="00354364"/>
    <w:rsid w:val="003543C7"/>
    <w:rsid w:val="00356DB9"/>
    <w:rsid w:val="00362C35"/>
    <w:rsid w:val="00366C64"/>
    <w:rsid w:val="0037199C"/>
    <w:rsid w:val="0038386D"/>
    <w:rsid w:val="00385F4F"/>
    <w:rsid w:val="00394EAC"/>
    <w:rsid w:val="003A72E1"/>
    <w:rsid w:val="003B2926"/>
    <w:rsid w:val="003D2137"/>
    <w:rsid w:val="003D367E"/>
    <w:rsid w:val="003D3731"/>
    <w:rsid w:val="003D5953"/>
    <w:rsid w:val="003F10FE"/>
    <w:rsid w:val="003F4270"/>
    <w:rsid w:val="003F7B51"/>
    <w:rsid w:val="00426F55"/>
    <w:rsid w:val="0043026F"/>
    <w:rsid w:val="00431A1C"/>
    <w:rsid w:val="0043462B"/>
    <w:rsid w:val="0043769F"/>
    <w:rsid w:val="00443A0C"/>
    <w:rsid w:val="0045198B"/>
    <w:rsid w:val="00451E8E"/>
    <w:rsid w:val="00460E48"/>
    <w:rsid w:val="00463471"/>
    <w:rsid w:val="00467598"/>
    <w:rsid w:val="0046787D"/>
    <w:rsid w:val="00467A49"/>
    <w:rsid w:val="00471AC9"/>
    <w:rsid w:val="00476D64"/>
    <w:rsid w:val="0048011A"/>
    <w:rsid w:val="0048070E"/>
    <w:rsid w:val="00493281"/>
    <w:rsid w:val="004972DF"/>
    <w:rsid w:val="004A0B83"/>
    <w:rsid w:val="004A5691"/>
    <w:rsid w:val="004B0D26"/>
    <w:rsid w:val="004B550B"/>
    <w:rsid w:val="004C06CC"/>
    <w:rsid w:val="004C4163"/>
    <w:rsid w:val="004C57BC"/>
    <w:rsid w:val="004C6BA2"/>
    <w:rsid w:val="004D510E"/>
    <w:rsid w:val="004D651C"/>
    <w:rsid w:val="004D7E38"/>
    <w:rsid w:val="004E50A9"/>
    <w:rsid w:val="004E7929"/>
    <w:rsid w:val="004F14AD"/>
    <w:rsid w:val="004F2A84"/>
    <w:rsid w:val="004F56F2"/>
    <w:rsid w:val="004F64A5"/>
    <w:rsid w:val="005075A7"/>
    <w:rsid w:val="00510528"/>
    <w:rsid w:val="00530B38"/>
    <w:rsid w:val="0054163A"/>
    <w:rsid w:val="00563792"/>
    <w:rsid w:val="00566F9E"/>
    <w:rsid w:val="005723DA"/>
    <w:rsid w:val="005775BC"/>
    <w:rsid w:val="005832E8"/>
    <w:rsid w:val="005900E1"/>
    <w:rsid w:val="005966A5"/>
    <w:rsid w:val="005A015A"/>
    <w:rsid w:val="005A4B4C"/>
    <w:rsid w:val="005A64E5"/>
    <w:rsid w:val="005B195E"/>
    <w:rsid w:val="005B3F53"/>
    <w:rsid w:val="005C61F0"/>
    <w:rsid w:val="005C6416"/>
    <w:rsid w:val="005C7150"/>
    <w:rsid w:val="005D054F"/>
    <w:rsid w:val="005D1BAE"/>
    <w:rsid w:val="005D33BA"/>
    <w:rsid w:val="005D5A0A"/>
    <w:rsid w:val="005E31E7"/>
    <w:rsid w:val="005E40BA"/>
    <w:rsid w:val="005E7382"/>
    <w:rsid w:val="005F2167"/>
    <w:rsid w:val="005F29E4"/>
    <w:rsid w:val="005F40F9"/>
    <w:rsid w:val="0060293E"/>
    <w:rsid w:val="00604C42"/>
    <w:rsid w:val="0060611C"/>
    <w:rsid w:val="00610966"/>
    <w:rsid w:val="0061248A"/>
    <w:rsid w:val="00617070"/>
    <w:rsid w:val="00635AFD"/>
    <w:rsid w:val="00654510"/>
    <w:rsid w:val="00657B04"/>
    <w:rsid w:val="00661493"/>
    <w:rsid w:val="00666338"/>
    <w:rsid w:val="0067046C"/>
    <w:rsid w:val="006734A9"/>
    <w:rsid w:val="006846E9"/>
    <w:rsid w:val="0068581E"/>
    <w:rsid w:val="00686A14"/>
    <w:rsid w:val="006933AB"/>
    <w:rsid w:val="006B40B6"/>
    <w:rsid w:val="006D2DF5"/>
    <w:rsid w:val="006D3E6B"/>
    <w:rsid w:val="006E5064"/>
    <w:rsid w:val="006F539C"/>
    <w:rsid w:val="006F6CC1"/>
    <w:rsid w:val="00707B09"/>
    <w:rsid w:val="00707DF3"/>
    <w:rsid w:val="00707F12"/>
    <w:rsid w:val="0072126C"/>
    <w:rsid w:val="00721FB3"/>
    <w:rsid w:val="00723C5E"/>
    <w:rsid w:val="007272FD"/>
    <w:rsid w:val="00734891"/>
    <w:rsid w:val="007348E7"/>
    <w:rsid w:val="00740D37"/>
    <w:rsid w:val="00746630"/>
    <w:rsid w:val="00755B18"/>
    <w:rsid w:val="0075790E"/>
    <w:rsid w:val="0076418F"/>
    <w:rsid w:val="00791614"/>
    <w:rsid w:val="00791FF4"/>
    <w:rsid w:val="007A2ABC"/>
    <w:rsid w:val="007A6E3C"/>
    <w:rsid w:val="007B1425"/>
    <w:rsid w:val="007B618A"/>
    <w:rsid w:val="007C712C"/>
    <w:rsid w:val="007D10F0"/>
    <w:rsid w:val="007D13FE"/>
    <w:rsid w:val="007D1835"/>
    <w:rsid w:val="007E2074"/>
    <w:rsid w:val="007E2A1C"/>
    <w:rsid w:val="0080181F"/>
    <w:rsid w:val="00802B48"/>
    <w:rsid w:val="00802C9A"/>
    <w:rsid w:val="0080621B"/>
    <w:rsid w:val="00811BFA"/>
    <w:rsid w:val="00813B58"/>
    <w:rsid w:val="008239FE"/>
    <w:rsid w:val="00824808"/>
    <w:rsid w:val="00825A87"/>
    <w:rsid w:val="00826C7E"/>
    <w:rsid w:val="00827A52"/>
    <w:rsid w:val="0083717F"/>
    <w:rsid w:val="008409B1"/>
    <w:rsid w:val="008441F0"/>
    <w:rsid w:val="00844FFE"/>
    <w:rsid w:val="008560BB"/>
    <w:rsid w:val="00864E46"/>
    <w:rsid w:val="00870AE4"/>
    <w:rsid w:val="00871F00"/>
    <w:rsid w:val="008767BA"/>
    <w:rsid w:val="0088786D"/>
    <w:rsid w:val="0089596A"/>
    <w:rsid w:val="008A5801"/>
    <w:rsid w:val="008B687F"/>
    <w:rsid w:val="008D3BD2"/>
    <w:rsid w:val="008E2747"/>
    <w:rsid w:val="008E4DB2"/>
    <w:rsid w:val="00903053"/>
    <w:rsid w:val="00903ECE"/>
    <w:rsid w:val="00906E62"/>
    <w:rsid w:val="009102DD"/>
    <w:rsid w:val="00912280"/>
    <w:rsid w:val="00922AA4"/>
    <w:rsid w:val="009267AF"/>
    <w:rsid w:val="0092704D"/>
    <w:rsid w:val="00927727"/>
    <w:rsid w:val="0093373F"/>
    <w:rsid w:val="00945C6F"/>
    <w:rsid w:val="009579DD"/>
    <w:rsid w:val="00957C2A"/>
    <w:rsid w:val="00964DC8"/>
    <w:rsid w:val="00971FFB"/>
    <w:rsid w:val="00976655"/>
    <w:rsid w:val="00982785"/>
    <w:rsid w:val="00984AD1"/>
    <w:rsid w:val="009A0435"/>
    <w:rsid w:val="009A2634"/>
    <w:rsid w:val="009A7517"/>
    <w:rsid w:val="009B0BF2"/>
    <w:rsid w:val="009B4A95"/>
    <w:rsid w:val="009B66CE"/>
    <w:rsid w:val="009B6EA7"/>
    <w:rsid w:val="009B7DF8"/>
    <w:rsid w:val="009C19A3"/>
    <w:rsid w:val="009C1C21"/>
    <w:rsid w:val="009C363C"/>
    <w:rsid w:val="009D1940"/>
    <w:rsid w:val="009D5C60"/>
    <w:rsid w:val="009D694E"/>
    <w:rsid w:val="009E2228"/>
    <w:rsid w:val="009E5601"/>
    <w:rsid w:val="009F0A8E"/>
    <w:rsid w:val="009F209A"/>
    <w:rsid w:val="009F760A"/>
    <w:rsid w:val="009F78FF"/>
    <w:rsid w:val="00A043BD"/>
    <w:rsid w:val="00A21B8B"/>
    <w:rsid w:val="00A248A2"/>
    <w:rsid w:val="00A257F6"/>
    <w:rsid w:val="00A26305"/>
    <w:rsid w:val="00A26A42"/>
    <w:rsid w:val="00A30D22"/>
    <w:rsid w:val="00A31D0E"/>
    <w:rsid w:val="00A31D19"/>
    <w:rsid w:val="00A344DA"/>
    <w:rsid w:val="00A35EEE"/>
    <w:rsid w:val="00A43D09"/>
    <w:rsid w:val="00A560C3"/>
    <w:rsid w:val="00A6038E"/>
    <w:rsid w:val="00A64AB5"/>
    <w:rsid w:val="00A671B5"/>
    <w:rsid w:val="00A81D7D"/>
    <w:rsid w:val="00A85552"/>
    <w:rsid w:val="00A92326"/>
    <w:rsid w:val="00A9632C"/>
    <w:rsid w:val="00A977AA"/>
    <w:rsid w:val="00AA0070"/>
    <w:rsid w:val="00AA0623"/>
    <w:rsid w:val="00AA287C"/>
    <w:rsid w:val="00AB12B5"/>
    <w:rsid w:val="00AB6F6F"/>
    <w:rsid w:val="00AC526A"/>
    <w:rsid w:val="00AD0395"/>
    <w:rsid w:val="00AD2963"/>
    <w:rsid w:val="00AD4708"/>
    <w:rsid w:val="00AD5971"/>
    <w:rsid w:val="00AD627E"/>
    <w:rsid w:val="00AF069E"/>
    <w:rsid w:val="00AF43D8"/>
    <w:rsid w:val="00B04222"/>
    <w:rsid w:val="00B0678B"/>
    <w:rsid w:val="00B06D0F"/>
    <w:rsid w:val="00B11943"/>
    <w:rsid w:val="00B1324E"/>
    <w:rsid w:val="00B313F3"/>
    <w:rsid w:val="00B42C45"/>
    <w:rsid w:val="00B43DC4"/>
    <w:rsid w:val="00B51016"/>
    <w:rsid w:val="00B51B63"/>
    <w:rsid w:val="00B55B7A"/>
    <w:rsid w:val="00B60C5F"/>
    <w:rsid w:val="00B634AB"/>
    <w:rsid w:val="00B7457D"/>
    <w:rsid w:val="00B75682"/>
    <w:rsid w:val="00B8520C"/>
    <w:rsid w:val="00B85316"/>
    <w:rsid w:val="00B87DE1"/>
    <w:rsid w:val="00B94033"/>
    <w:rsid w:val="00BA2C05"/>
    <w:rsid w:val="00BC7497"/>
    <w:rsid w:val="00BD0118"/>
    <w:rsid w:val="00BD69E4"/>
    <w:rsid w:val="00BD7728"/>
    <w:rsid w:val="00BE197D"/>
    <w:rsid w:val="00BF1522"/>
    <w:rsid w:val="00BF66D5"/>
    <w:rsid w:val="00BF78EC"/>
    <w:rsid w:val="00BF7E90"/>
    <w:rsid w:val="00C057A0"/>
    <w:rsid w:val="00C063B6"/>
    <w:rsid w:val="00C07411"/>
    <w:rsid w:val="00C07F53"/>
    <w:rsid w:val="00C15C51"/>
    <w:rsid w:val="00C25762"/>
    <w:rsid w:val="00C32047"/>
    <w:rsid w:val="00C32BB0"/>
    <w:rsid w:val="00C40F0D"/>
    <w:rsid w:val="00C51DA9"/>
    <w:rsid w:val="00C55415"/>
    <w:rsid w:val="00C5578F"/>
    <w:rsid w:val="00C57A6C"/>
    <w:rsid w:val="00C610F6"/>
    <w:rsid w:val="00C714B8"/>
    <w:rsid w:val="00C857F3"/>
    <w:rsid w:val="00C87490"/>
    <w:rsid w:val="00C90783"/>
    <w:rsid w:val="00CA2F0E"/>
    <w:rsid w:val="00CA3AC7"/>
    <w:rsid w:val="00CA68F8"/>
    <w:rsid w:val="00CA6CBC"/>
    <w:rsid w:val="00CB18D5"/>
    <w:rsid w:val="00CB26CA"/>
    <w:rsid w:val="00CB4193"/>
    <w:rsid w:val="00CB5C1B"/>
    <w:rsid w:val="00CB5CB9"/>
    <w:rsid w:val="00CC09F4"/>
    <w:rsid w:val="00CC27D7"/>
    <w:rsid w:val="00CD4EA3"/>
    <w:rsid w:val="00CD54CC"/>
    <w:rsid w:val="00CD69B4"/>
    <w:rsid w:val="00CE2C46"/>
    <w:rsid w:val="00CF6274"/>
    <w:rsid w:val="00D0026F"/>
    <w:rsid w:val="00D02FA2"/>
    <w:rsid w:val="00D0307A"/>
    <w:rsid w:val="00D1000B"/>
    <w:rsid w:val="00D10BBC"/>
    <w:rsid w:val="00D239E0"/>
    <w:rsid w:val="00D26E28"/>
    <w:rsid w:val="00D30A46"/>
    <w:rsid w:val="00D3253D"/>
    <w:rsid w:val="00D3444D"/>
    <w:rsid w:val="00D351AD"/>
    <w:rsid w:val="00D37D0A"/>
    <w:rsid w:val="00D551F6"/>
    <w:rsid w:val="00D57A02"/>
    <w:rsid w:val="00D60362"/>
    <w:rsid w:val="00D64EA0"/>
    <w:rsid w:val="00D731DB"/>
    <w:rsid w:val="00D74A74"/>
    <w:rsid w:val="00D82BE0"/>
    <w:rsid w:val="00D8341A"/>
    <w:rsid w:val="00D9283D"/>
    <w:rsid w:val="00D95818"/>
    <w:rsid w:val="00DA7C9D"/>
    <w:rsid w:val="00DA7CDD"/>
    <w:rsid w:val="00DB31F7"/>
    <w:rsid w:val="00DB69F0"/>
    <w:rsid w:val="00DD0AF7"/>
    <w:rsid w:val="00DD51ED"/>
    <w:rsid w:val="00DD5CC3"/>
    <w:rsid w:val="00DE4788"/>
    <w:rsid w:val="00DF2BF6"/>
    <w:rsid w:val="00DF51C4"/>
    <w:rsid w:val="00E04D19"/>
    <w:rsid w:val="00E052F3"/>
    <w:rsid w:val="00E10D97"/>
    <w:rsid w:val="00E131E1"/>
    <w:rsid w:val="00E14AB3"/>
    <w:rsid w:val="00E17DBD"/>
    <w:rsid w:val="00E20F01"/>
    <w:rsid w:val="00E3723F"/>
    <w:rsid w:val="00E40A3A"/>
    <w:rsid w:val="00E44680"/>
    <w:rsid w:val="00E7560D"/>
    <w:rsid w:val="00E8023A"/>
    <w:rsid w:val="00E84557"/>
    <w:rsid w:val="00EA2292"/>
    <w:rsid w:val="00EA7D93"/>
    <w:rsid w:val="00EB57AE"/>
    <w:rsid w:val="00EB5F34"/>
    <w:rsid w:val="00EB7BF6"/>
    <w:rsid w:val="00ED0887"/>
    <w:rsid w:val="00ED2907"/>
    <w:rsid w:val="00EE329A"/>
    <w:rsid w:val="00EE52D1"/>
    <w:rsid w:val="00EF22BF"/>
    <w:rsid w:val="00EF7CD0"/>
    <w:rsid w:val="00F0051E"/>
    <w:rsid w:val="00F01ADD"/>
    <w:rsid w:val="00F0706C"/>
    <w:rsid w:val="00F146B0"/>
    <w:rsid w:val="00F2114E"/>
    <w:rsid w:val="00F3462C"/>
    <w:rsid w:val="00F3471B"/>
    <w:rsid w:val="00F42F16"/>
    <w:rsid w:val="00F61E23"/>
    <w:rsid w:val="00F62071"/>
    <w:rsid w:val="00F67A35"/>
    <w:rsid w:val="00F75910"/>
    <w:rsid w:val="00F84C9D"/>
    <w:rsid w:val="00F918F4"/>
    <w:rsid w:val="00FA291D"/>
    <w:rsid w:val="00FA48D4"/>
    <w:rsid w:val="00FB1C07"/>
    <w:rsid w:val="00FB203C"/>
    <w:rsid w:val="00FC37AE"/>
    <w:rsid w:val="00FE17C2"/>
    <w:rsid w:val="00FE4B89"/>
    <w:rsid w:val="00FE509F"/>
    <w:rsid w:val="00FE540C"/>
    <w:rsid w:val="00FE60D5"/>
    <w:rsid w:val="00FF39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749DC"/>
  <w15:docId w15:val="{F069F001-F9A7-43A0-9440-0A17EDA6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1F6"/>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qFormat/>
    <w:rsid w:val="00D551F6"/>
    <w:pPr>
      <w:keepNext/>
      <w:keepLines/>
      <w:spacing w:after="360"/>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51F6"/>
    <w:rPr>
      <w:rFonts w:ascii="Times New Roman" w:hAnsi="Times New Roman" w:cs="Times New Roman"/>
      <w:b/>
      <w:sz w:val="28"/>
      <w:szCs w:val="24"/>
    </w:rPr>
  </w:style>
  <w:style w:type="paragraph" w:styleId="ListParagraph">
    <w:name w:val="List Paragraph"/>
    <w:aliases w:val="Multilevel para_II,List Paragraph (numbered (a)),References,WB List Paragraph,Bullets,Liste 1,List Paragraph1,Medium Grid 1 - Accent 21,List Paragraph nowy,Numbered List Paragraph,ReferencesCxSpLast,123 List Paragraph,List_Paragraph,Dot p"/>
    <w:basedOn w:val="Normal"/>
    <w:link w:val="ListParagraphChar"/>
    <w:uiPriority w:val="34"/>
    <w:qFormat/>
    <w:rsid w:val="00D551F6"/>
    <w:pPr>
      <w:spacing w:after="200" w:line="276" w:lineRule="auto"/>
      <w:ind w:left="720"/>
    </w:pPr>
  </w:style>
  <w:style w:type="character" w:customStyle="1" w:styleId="ListParagraphChar">
    <w:name w:val="List Paragraph Char"/>
    <w:aliases w:val="Multilevel para_II Char,List Paragraph (numbered (a)) Char,References Char,WB List Paragraph Char,Bullets Char,Liste 1 Char,List Paragraph1 Char,Medium Grid 1 - Accent 21 Char,List Paragraph nowy Char,Numbered List Paragraph Char"/>
    <w:link w:val="ListParagraph"/>
    <w:uiPriority w:val="34"/>
    <w:qFormat/>
    <w:rsid w:val="00D551F6"/>
    <w:rPr>
      <w:rFonts w:ascii="Times New Roman" w:hAnsi="Times New Roman" w:cs="Times New Roman"/>
      <w:sz w:val="24"/>
      <w:szCs w:val="24"/>
    </w:rPr>
  </w:style>
  <w:style w:type="paragraph" w:styleId="Revision">
    <w:name w:val="Revision"/>
    <w:hidden/>
    <w:uiPriority w:val="99"/>
    <w:semiHidden/>
    <w:rsid w:val="006F6CC1"/>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B57AE"/>
    <w:rPr>
      <w:sz w:val="16"/>
      <w:szCs w:val="16"/>
    </w:rPr>
  </w:style>
  <w:style w:type="paragraph" w:styleId="CommentText">
    <w:name w:val="annotation text"/>
    <w:basedOn w:val="Normal"/>
    <w:link w:val="CommentTextChar"/>
    <w:uiPriority w:val="99"/>
    <w:unhideWhenUsed/>
    <w:rsid w:val="00EB57AE"/>
    <w:rPr>
      <w:sz w:val="20"/>
      <w:szCs w:val="20"/>
    </w:rPr>
  </w:style>
  <w:style w:type="character" w:customStyle="1" w:styleId="CommentTextChar">
    <w:name w:val="Comment Text Char"/>
    <w:basedOn w:val="DefaultParagraphFont"/>
    <w:link w:val="CommentText"/>
    <w:uiPriority w:val="99"/>
    <w:rsid w:val="00EB57A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57AE"/>
    <w:rPr>
      <w:b/>
      <w:bCs/>
    </w:rPr>
  </w:style>
  <w:style w:type="character" w:customStyle="1" w:styleId="CommentSubjectChar">
    <w:name w:val="Comment Subject Char"/>
    <w:basedOn w:val="CommentTextChar"/>
    <w:link w:val="CommentSubject"/>
    <w:uiPriority w:val="99"/>
    <w:semiHidden/>
    <w:rsid w:val="00EB57A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F06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69E"/>
    <w:rPr>
      <w:rFonts w:ascii="Segoe UI" w:hAnsi="Segoe UI" w:cs="Segoe UI"/>
      <w:sz w:val="18"/>
      <w:szCs w:val="18"/>
    </w:rPr>
  </w:style>
  <w:style w:type="paragraph" w:customStyle="1" w:styleId="Default">
    <w:name w:val="Default"/>
    <w:rsid w:val="00B60C5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B687F"/>
    <w:pPr>
      <w:tabs>
        <w:tab w:val="center" w:pos="4680"/>
        <w:tab w:val="right" w:pos="9360"/>
      </w:tabs>
    </w:pPr>
  </w:style>
  <w:style w:type="character" w:customStyle="1" w:styleId="HeaderChar">
    <w:name w:val="Header Char"/>
    <w:basedOn w:val="DefaultParagraphFont"/>
    <w:link w:val="Header"/>
    <w:uiPriority w:val="99"/>
    <w:rsid w:val="008B687F"/>
    <w:rPr>
      <w:rFonts w:ascii="Times New Roman" w:hAnsi="Times New Roman" w:cs="Times New Roman"/>
      <w:sz w:val="24"/>
      <w:szCs w:val="24"/>
    </w:rPr>
  </w:style>
  <w:style w:type="paragraph" w:styleId="Footer">
    <w:name w:val="footer"/>
    <w:basedOn w:val="Normal"/>
    <w:link w:val="FooterChar"/>
    <w:uiPriority w:val="99"/>
    <w:unhideWhenUsed/>
    <w:rsid w:val="008B687F"/>
    <w:pPr>
      <w:tabs>
        <w:tab w:val="center" w:pos="4680"/>
        <w:tab w:val="right" w:pos="9360"/>
      </w:tabs>
    </w:pPr>
  </w:style>
  <w:style w:type="character" w:customStyle="1" w:styleId="FooterChar">
    <w:name w:val="Footer Char"/>
    <w:basedOn w:val="DefaultParagraphFont"/>
    <w:link w:val="Footer"/>
    <w:uiPriority w:val="99"/>
    <w:rsid w:val="008B687F"/>
    <w:rPr>
      <w:rFonts w:ascii="Times New Roman" w:hAnsi="Times New Roman" w:cs="Times New Roman"/>
      <w:sz w:val="24"/>
      <w:szCs w:val="24"/>
    </w:rPr>
  </w:style>
  <w:style w:type="paragraph" w:customStyle="1" w:styleId="xmsolistparagraph">
    <w:name w:val="x_msolistparagraph"/>
    <w:basedOn w:val="Normal"/>
    <w:rsid w:val="002F17F0"/>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61E23"/>
    <w:pPr>
      <w:spacing w:after="120"/>
    </w:pPr>
    <w:rPr>
      <w:rFonts w:eastAsia="Times New Roman"/>
      <w:sz w:val="20"/>
      <w:szCs w:val="20"/>
    </w:rPr>
  </w:style>
  <w:style w:type="character" w:customStyle="1" w:styleId="BodyTextChar">
    <w:name w:val="Body Text Char"/>
    <w:basedOn w:val="DefaultParagraphFont"/>
    <w:link w:val="BodyText"/>
    <w:uiPriority w:val="99"/>
    <w:rsid w:val="00F61E23"/>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707F12"/>
    <w:pPr>
      <w:spacing w:after="120"/>
      <w:ind w:left="283"/>
    </w:pPr>
  </w:style>
  <w:style w:type="character" w:customStyle="1" w:styleId="BodyTextIndentChar">
    <w:name w:val="Body Text Indent Char"/>
    <w:basedOn w:val="DefaultParagraphFont"/>
    <w:link w:val="BodyTextIndent"/>
    <w:rsid w:val="00707F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8097">
      <w:bodyDiv w:val="1"/>
      <w:marLeft w:val="0"/>
      <w:marRight w:val="0"/>
      <w:marTop w:val="0"/>
      <w:marBottom w:val="0"/>
      <w:divBdr>
        <w:top w:val="none" w:sz="0" w:space="0" w:color="auto"/>
        <w:left w:val="none" w:sz="0" w:space="0" w:color="auto"/>
        <w:bottom w:val="none" w:sz="0" w:space="0" w:color="auto"/>
        <w:right w:val="none" w:sz="0" w:space="0" w:color="auto"/>
      </w:divBdr>
    </w:div>
    <w:div w:id="546720574">
      <w:bodyDiv w:val="1"/>
      <w:marLeft w:val="0"/>
      <w:marRight w:val="0"/>
      <w:marTop w:val="0"/>
      <w:marBottom w:val="0"/>
      <w:divBdr>
        <w:top w:val="none" w:sz="0" w:space="0" w:color="auto"/>
        <w:left w:val="none" w:sz="0" w:space="0" w:color="auto"/>
        <w:bottom w:val="none" w:sz="0" w:space="0" w:color="auto"/>
        <w:right w:val="none" w:sz="0" w:space="0" w:color="auto"/>
      </w:divBdr>
    </w:div>
    <w:div w:id="556092428">
      <w:bodyDiv w:val="1"/>
      <w:marLeft w:val="0"/>
      <w:marRight w:val="0"/>
      <w:marTop w:val="0"/>
      <w:marBottom w:val="0"/>
      <w:divBdr>
        <w:top w:val="none" w:sz="0" w:space="0" w:color="auto"/>
        <w:left w:val="none" w:sz="0" w:space="0" w:color="auto"/>
        <w:bottom w:val="none" w:sz="0" w:space="0" w:color="auto"/>
        <w:right w:val="none" w:sz="0" w:space="0" w:color="auto"/>
      </w:divBdr>
    </w:div>
    <w:div w:id="589659556">
      <w:bodyDiv w:val="1"/>
      <w:marLeft w:val="0"/>
      <w:marRight w:val="0"/>
      <w:marTop w:val="0"/>
      <w:marBottom w:val="0"/>
      <w:divBdr>
        <w:top w:val="none" w:sz="0" w:space="0" w:color="auto"/>
        <w:left w:val="none" w:sz="0" w:space="0" w:color="auto"/>
        <w:bottom w:val="none" w:sz="0" w:space="0" w:color="auto"/>
        <w:right w:val="none" w:sz="0" w:space="0" w:color="auto"/>
      </w:divBdr>
    </w:div>
    <w:div w:id="596057153">
      <w:bodyDiv w:val="1"/>
      <w:marLeft w:val="0"/>
      <w:marRight w:val="0"/>
      <w:marTop w:val="0"/>
      <w:marBottom w:val="0"/>
      <w:divBdr>
        <w:top w:val="none" w:sz="0" w:space="0" w:color="auto"/>
        <w:left w:val="none" w:sz="0" w:space="0" w:color="auto"/>
        <w:bottom w:val="none" w:sz="0" w:space="0" w:color="auto"/>
        <w:right w:val="none" w:sz="0" w:space="0" w:color="auto"/>
      </w:divBdr>
    </w:div>
    <w:div w:id="665671877">
      <w:bodyDiv w:val="1"/>
      <w:marLeft w:val="0"/>
      <w:marRight w:val="0"/>
      <w:marTop w:val="0"/>
      <w:marBottom w:val="0"/>
      <w:divBdr>
        <w:top w:val="none" w:sz="0" w:space="0" w:color="auto"/>
        <w:left w:val="none" w:sz="0" w:space="0" w:color="auto"/>
        <w:bottom w:val="none" w:sz="0" w:space="0" w:color="auto"/>
        <w:right w:val="none" w:sz="0" w:space="0" w:color="auto"/>
      </w:divBdr>
    </w:div>
    <w:div w:id="924607523">
      <w:bodyDiv w:val="1"/>
      <w:marLeft w:val="0"/>
      <w:marRight w:val="0"/>
      <w:marTop w:val="0"/>
      <w:marBottom w:val="0"/>
      <w:divBdr>
        <w:top w:val="none" w:sz="0" w:space="0" w:color="auto"/>
        <w:left w:val="none" w:sz="0" w:space="0" w:color="auto"/>
        <w:bottom w:val="none" w:sz="0" w:space="0" w:color="auto"/>
        <w:right w:val="none" w:sz="0" w:space="0" w:color="auto"/>
      </w:divBdr>
    </w:div>
    <w:div w:id="1702170508">
      <w:bodyDiv w:val="1"/>
      <w:marLeft w:val="0"/>
      <w:marRight w:val="0"/>
      <w:marTop w:val="0"/>
      <w:marBottom w:val="0"/>
      <w:divBdr>
        <w:top w:val="none" w:sz="0" w:space="0" w:color="auto"/>
        <w:left w:val="none" w:sz="0" w:space="0" w:color="auto"/>
        <w:bottom w:val="none" w:sz="0" w:space="0" w:color="auto"/>
        <w:right w:val="none" w:sz="0" w:space="0" w:color="auto"/>
      </w:divBdr>
    </w:div>
    <w:div w:id="2050370238">
      <w:bodyDiv w:val="1"/>
      <w:marLeft w:val="0"/>
      <w:marRight w:val="0"/>
      <w:marTop w:val="0"/>
      <w:marBottom w:val="0"/>
      <w:divBdr>
        <w:top w:val="none" w:sz="0" w:space="0" w:color="auto"/>
        <w:left w:val="none" w:sz="0" w:space="0" w:color="auto"/>
        <w:bottom w:val="none" w:sz="0" w:space="0" w:color="auto"/>
        <w:right w:val="none" w:sz="0" w:space="0" w:color="auto"/>
      </w:divBdr>
    </w:div>
    <w:div w:id="209967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74B64-1FFB-4CDC-B55D-BA220FE36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F6D9C-003B-4734-940B-AB587B18FB04}">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B2598923-6EAA-4F3D-BDB9-727A948BE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Liban Ibrahim</cp:lastModifiedBy>
  <cp:revision>6</cp:revision>
  <dcterms:created xsi:type="dcterms:W3CDTF">2024-08-12T18:56:00Z</dcterms:created>
  <dcterms:modified xsi:type="dcterms:W3CDTF">2024-08-13T11:23:00Z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672e71fc073aec0638a7511478958e0b8896744dfef56ac9c6851e6d675510cb</vt:lpwstr>
  </property>
  <property fmtid="{D5CDD505-2E9C-101B-9397-08002B2CF9AE}" pid="3" name="ContentTypeId">
    <vt:lpwstr>0x01010022D807DA5079DD4F8FC962D9402EEFD8</vt:lpwstr>
  </property>
</Properties>
</file>