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D81C9" w14:textId="32F23E93" w:rsidR="00E96B90" w:rsidRPr="00934C8A" w:rsidRDefault="00E96B90" w:rsidP="00E96B90">
      <w:pPr>
        <w:jc w:val="center"/>
        <w:rPr>
          <w:rFonts w:ascii="Times New Roman" w:hAnsi="Times New Roman" w:cs="Times New Roman"/>
        </w:rPr>
      </w:pPr>
      <w:r w:rsidRPr="00934C8A">
        <w:rPr>
          <w:rFonts w:ascii="Times New Roman" w:hAnsi="Times New Roman" w:cs="Times New Roman"/>
          <w:noProof/>
        </w:rPr>
        <w:drawing>
          <wp:inline distT="0" distB="0" distL="0" distR="0" wp14:anchorId="125763DF" wp14:editId="3D9F2D04">
            <wp:extent cx="1097280" cy="8534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853440"/>
                    </a:xfrm>
                    <a:prstGeom prst="rect">
                      <a:avLst/>
                    </a:prstGeom>
                    <a:noFill/>
                  </pic:spPr>
                </pic:pic>
              </a:graphicData>
            </a:graphic>
          </wp:inline>
        </w:drawing>
      </w:r>
      <w:r w:rsidR="00EC5FC3" w:rsidRPr="00934C8A">
        <w:rPr>
          <w:rFonts w:ascii="Times New Roman" w:hAnsi="Times New Roman" w:cs="Times New Roman"/>
        </w:rPr>
        <w:t xml:space="preserve">                                                            </w:t>
      </w:r>
    </w:p>
    <w:p w14:paraId="44E8AE26" w14:textId="77777777" w:rsidR="00E96B90" w:rsidRPr="00934C8A" w:rsidRDefault="00E96B90" w:rsidP="00E96B90">
      <w:pPr>
        <w:spacing w:line="276" w:lineRule="auto"/>
        <w:rPr>
          <w:rFonts w:ascii="Times New Roman" w:hAnsi="Times New Roman" w:cs="Times New Roman"/>
          <w:b/>
          <w:color w:val="373A3C"/>
        </w:rPr>
      </w:pPr>
    </w:p>
    <w:p w14:paraId="2D6DAF23" w14:textId="77777777" w:rsidR="00E96B90" w:rsidRPr="00934C8A" w:rsidRDefault="00E96B90" w:rsidP="00E96B90">
      <w:pPr>
        <w:spacing w:line="276" w:lineRule="auto"/>
        <w:jc w:val="center"/>
        <w:rPr>
          <w:rFonts w:ascii="Times New Roman" w:hAnsi="Times New Roman" w:cs="Times New Roman"/>
          <w:b/>
          <w:color w:val="373A3C"/>
        </w:rPr>
      </w:pPr>
      <w:r w:rsidRPr="00934C8A">
        <w:rPr>
          <w:rFonts w:ascii="Times New Roman" w:hAnsi="Times New Roman" w:cs="Times New Roman"/>
          <w:b/>
          <w:color w:val="373A3C"/>
        </w:rPr>
        <w:t xml:space="preserve">Federal Government of Somalia </w:t>
      </w:r>
    </w:p>
    <w:p w14:paraId="63E4A88E" w14:textId="77777777" w:rsidR="00E96B90" w:rsidRPr="00934C8A" w:rsidRDefault="00E96B90" w:rsidP="00E96B90">
      <w:pPr>
        <w:spacing w:line="276" w:lineRule="auto"/>
        <w:jc w:val="center"/>
        <w:rPr>
          <w:rFonts w:ascii="Times New Roman" w:hAnsi="Times New Roman" w:cs="Times New Roman"/>
          <w:b/>
          <w:color w:val="373A3C"/>
        </w:rPr>
      </w:pPr>
      <w:r w:rsidRPr="00934C8A">
        <w:rPr>
          <w:rFonts w:ascii="Times New Roman" w:hAnsi="Times New Roman" w:cs="Times New Roman"/>
          <w:b/>
          <w:color w:val="373A3C"/>
        </w:rPr>
        <w:t xml:space="preserve">Ministry of Energy and Water Resources </w:t>
      </w:r>
    </w:p>
    <w:p w14:paraId="6053C63D" w14:textId="2D5B13D2" w:rsidR="00D5611E" w:rsidRPr="00934C8A" w:rsidRDefault="00E96B90" w:rsidP="00934C8A">
      <w:pPr>
        <w:spacing w:before="120" w:after="120" w:line="276" w:lineRule="auto"/>
        <w:jc w:val="center"/>
        <w:rPr>
          <w:rFonts w:ascii="Times New Roman" w:hAnsi="Times New Roman" w:cs="Times New Roman"/>
          <w:b/>
          <w:color w:val="373A3C"/>
        </w:rPr>
      </w:pPr>
      <w:r w:rsidRPr="00934C8A">
        <w:rPr>
          <w:rFonts w:ascii="Times New Roman" w:hAnsi="Times New Roman" w:cs="Times New Roman"/>
          <w:b/>
          <w:color w:val="373A3C"/>
        </w:rPr>
        <w:t>TERMS OF REFERENCE</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97"/>
        <w:gridCol w:w="5653"/>
      </w:tblGrid>
      <w:tr w:rsidR="00E96B90" w:rsidRPr="00934C8A" w14:paraId="63DA35AF" w14:textId="77777777" w:rsidTr="00E05E09">
        <w:tc>
          <w:tcPr>
            <w:tcW w:w="1977" w:type="pct"/>
            <w:shd w:val="clear" w:color="auto" w:fill="auto"/>
          </w:tcPr>
          <w:p w14:paraId="5850033E" w14:textId="77777777" w:rsidR="00E96B90" w:rsidRPr="00934C8A" w:rsidRDefault="00E96B90" w:rsidP="00E05E09">
            <w:pPr>
              <w:spacing w:line="276" w:lineRule="auto"/>
              <w:rPr>
                <w:rFonts w:ascii="Times New Roman" w:hAnsi="Times New Roman" w:cs="Times New Roman"/>
                <w:b/>
                <w:color w:val="373A3C"/>
              </w:rPr>
            </w:pPr>
            <w:r w:rsidRPr="00934C8A">
              <w:rPr>
                <w:rFonts w:ascii="Times New Roman" w:hAnsi="Times New Roman" w:cs="Times New Roman"/>
                <w:b/>
                <w:color w:val="373A3C"/>
              </w:rPr>
              <w:t>Country:</w:t>
            </w:r>
          </w:p>
        </w:tc>
        <w:tc>
          <w:tcPr>
            <w:tcW w:w="3023" w:type="pct"/>
            <w:shd w:val="clear" w:color="auto" w:fill="auto"/>
          </w:tcPr>
          <w:p w14:paraId="10994AE0" w14:textId="77777777" w:rsidR="00E96B90" w:rsidRPr="00934C8A" w:rsidRDefault="00E96B90" w:rsidP="00E05E09">
            <w:pPr>
              <w:spacing w:line="276" w:lineRule="auto"/>
              <w:rPr>
                <w:rFonts w:ascii="Times New Roman" w:hAnsi="Times New Roman" w:cs="Times New Roman"/>
                <w:bCs/>
                <w:color w:val="373A3C"/>
              </w:rPr>
            </w:pPr>
            <w:r w:rsidRPr="00934C8A">
              <w:rPr>
                <w:rFonts w:ascii="Times New Roman" w:hAnsi="Times New Roman" w:cs="Times New Roman"/>
                <w:bCs/>
                <w:color w:val="373A3C"/>
              </w:rPr>
              <w:t>Federal Government of Somalia</w:t>
            </w:r>
          </w:p>
        </w:tc>
      </w:tr>
      <w:tr w:rsidR="00E96B90" w:rsidRPr="00934C8A" w14:paraId="027E5603" w14:textId="77777777" w:rsidTr="00E05E09">
        <w:tc>
          <w:tcPr>
            <w:tcW w:w="1977" w:type="pct"/>
            <w:shd w:val="clear" w:color="auto" w:fill="auto"/>
          </w:tcPr>
          <w:p w14:paraId="454A7143" w14:textId="77777777" w:rsidR="00E96B90" w:rsidRPr="00934C8A" w:rsidRDefault="00E96B90" w:rsidP="00E05E09">
            <w:pPr>
              <w:spacing w:line="276" w:lineRule="auto"/>
              <w:rPr>
                <w:rFonts w:ascii="Times New Roman" w:hAnsi="Times New Roman" w:cs="Times New Roman"/>
                <w:b/>
                <w:color w:val="373A3C"/>
              </w:rPr>
            </w:pPr>
            <w:r w:rsidRPr="00934C8A">
              <w:rPr>
                <w:rFonts w:ascii="Times New Roman" w:hAnsi="Times New Roman" w:cs="Times New Roman"/>
                <w:b/>
                <w:color w:val="373A3C"/>
              </w:rPr>
              <w:t>Name of Project:</w:t>
            </w:r>
          </w:p>
        </w:tc>
        <w:tc>
          <w:tcPr>
            <w:tcW w:w="3023" w:type="pct"/>
            <w:shd w:val="clear" w:color="auto" w:fill="auto"/>
          </w:tcPr>
          <w:p w14:paraId="53E7E663" w14:textId="77777777" w:rsidR="00E96B90" w:rsidRPr="00934C8A" w:rsidRDefault="00E96B90" w:rsidP="00E05E09">
            <w:pPr>
              <w:spacing w:line="276" w:lineRule="auto"/>
              <w:rPr>
                <w:rFonts w:ascii="Times New Roman" w:hAnsi="Times New Roman" w:cs="Times New Roman"/>
                <w:bCs/>
                <w:color w:val="373A3C"/>
              </w:rPr>
            </w:pPr>
            <w:r w:rsidRPr="00934C8A">
              <w:rPr>
                <w:rFonts w:ascii="Times New Roman" w:hAnsi="Times New Roman" w:cs="Times New Roman"/>
                <w:bCs/>
                <w:color w:val="373A3C"/>
              </w:rPr>
              <w:t>Somali Electricity Sector Recovery Project (SESRP)</w:t>
            </w:r>
          </w:p>
        </w:tc>
      </w:tr>
      <w:tr w:rsidR="00E96B90" w:rsidRPr="00934C8A" w14:paraId="4500A91F" w14:textId="77777777" w:rsidTr="00E05E09">
        <w:tc>
          <w:tcPr>
            <w:tcW w:w="1977" w:type="pct"/>
            <w:shd w:val="clear" w:color="auto" w:fill="auto"/>
          </w:tcPr>
          <w:p w14:paraId="43B64FBC" w14:textId="77777777" w:rsidR="00E96B90" w:rsidRPr="00934C8A" w:rsidRDefault="00E96B90" w:rsidP="00E05E09">
            <w:pPr>
              <w:spacing w:line="276" w:lineRule="auto"/>
              <w:rPr>
                <w:rFonts w:ascii="Times New Roman" w:hAnsi="Times New Roman" w:cs="Times New Roman"/>
                <w:b/>
                <w:color w:val="373A3C"/>
              </w:rPr>
            </w:pPr>
            <w:r w:rsidRPr="00934C8A">
              <w:rPr>
                <w:rFonts w:ascii="Times New Roman" w:hAnsi="Times New Roman" w:cs="Times New Roman"/>
                <w:b/>
                <w:color w:val="373A3C"/>
              </w:rPr>
              <w:t>Project ID:</w:t>
            </w:r>
          </w:p>
        </w:tc>
        <w:tc>
          <w:tcPr>
            <w:tcW w:w="3023" w:type="pct"/>
            <w:shd w:val="clear" w:color="auto" w:fill="auto"/>
          </w:tcPr>
          <w:p w14:paraId="441DC44D" w14:textId="77777777" w:rsidR="00E96B90" w:rsidRPr="00934C8A" w:rsidRDefault="00E96B90" w:rsidP="00E05E09">
            <w:pPr>
              <w:spacing w:line="276" w:lineRule="auto"/>
              <w:rPr>
                <w:rFonts w:ascii="Times New Roman" w:hAnsi="Times New Roman" w:cs="Times New Roman"/>
                <w:bCs/>
                <w:color w:val="373A3C"/>
              </w:rPr>
            </w:pPr>
            <w:r w:rsidRPr="00934C8A">
              <w:rPr>
                <w:rFonts w:ascii="Times New Roman" w:hAnsi="Times New Roman" w:cs="Times New Roman"/>
                <w:bCs/>
                <w:color w:val="373A3C"/>
              </w:rPr>
              <w:t>P173088</w:t>
            </w:r>
          </w:p>
        </w:tc>
      </w:tr>
      <w:tr w:rsidR="00E96B90" w:rsidRPr="00934C8A" w14:paraId="00171182" w14:textId="77777777" w:rsidTr="00E05E09">
        <w:tc>
          <w:tcPr>
            <w:tcW w:w="1977" w:type="pct"/>
            <w:shd w:val="clear" w:color="auto" w:fill="auto"/>
          </w:tcPr>
          <w:p w14:paraId="4564DA5C" w14:textId="77777777" w:rsidR="00E96B90" w:rsidRPr="00934C8A" w:rsidRDefault="00E96B90" w:rsidP="00E05E09">
            <w:pPr>
              <w:spacing w:line="276" w:lineRule="auto"/>
              <w:rPr>
                <w:rFonts w:ascii="Times New Roman" w:hAnsi="Times New Roman" w:cs="Times New Roman"/>
                <w:b/>
                <w:color w:val="373A3C"/>
              </w:rPr>
            </w:pPr>
            <w:r w:rsidRPr="00934C8A">
              <w:rPr>
                <w:rFonts w:ascii="Times New Roman" w:hAnsi="Times New Roman" w:cs="Times New Roman"/>
                <w:b/>
                <w:color w:val="373A3C"/>
              </w:rPr>
              <w:t>Assignment Title:</w:t>
            </w:r>
          </w:p>
        </w:tc>
        <w:tc>
          <w:tcPr>
            <w:tcW w:w="3023" w:type="pct"/>
            <w:shd w:val="clear" w:color="auto" w:fill="auto"/>
          </w:tcPr>
          <w:p w14:paraId="4919DBEE" w14:textId="611A6BDC" w:rsidR="00E96B90" w:rsidRPr="00934C8A" w:rsidRDefault="00E96B90" w:rsidP="00E05E09">
            <w:pPr>
              <w:spacing w:line="276" w:lineRule="auto"/>
              <w:rPr>
                <w:rFonts w:ascii="Times New Roman" w:hAnsi="Times New Roman" w:cs="Times New Roman"/>
                <w:bCs/>
                <w:color w:val="373A3C"/>
              </w:rPr>
            </w:pPr>
            <w:r w:rsidRPr="00934C8A">
              <w:rPr>
                <w:rFonts w:ascii="Times New Roman" w:hAnsi="Times New Roman" w:cs="Times New Roman"/>
                <w:bCs/>
              </w:rPr>
              <w:t xml:space="preserve">Legal </w:t>
            </w:r>
            <w:r w:rsidRPr="00934C8A">
              <w:rPr>
                <w:rFonts w:ascii="Times New Roman" w:hAnsi="Times New Roman" w:cs="Times New Roman"/>
                <w:bCs/>
                <w:color w:val="000000"/>
              </w:rPr>
              <w:t>Advisor</w:t>
            </w:r>
          </w:p>
        </w:tc>
      </w:tr>
      <w:tr w:rsidR="00E96B90" w:rsidRPr="00934C8A" w14:paraId="13044CE5" w14:textId="77777777" w:rsidTr="00E05E09">
        <w:tc>
          <w:tcPr>
            <w:tcW w:w="1977" w:type="pct"/>
            <w:tcBorders>
              <w:top w:val="dotted" w:sz="4" w:space="0" w:color="auto"/>
              <w:left w:val="dotted" w:sz="4" w:space="0" w:color="auto"/>
              <w:bottom w:val="dotted" w:sz="4" w:space="0" w:color="auto"/>
              <w:right w:val="dotted" w:sz="4" w:space="0" w:color="auto"/>
            </w:tcBorders>
            <w:shd w:val="clear" w:color="auto" w:fill="auto"/>
          </w:tcPr>
          <w:p w14:paraId="100745C0" w14:textId="77777777" w:rsidR="00E96B90" w:rsidRPr="00934C8A" w:rsidRDefault="00E96B90" w:rsidP="00E05E09">
            <w:pPr>
              <w:spacing w:line="276" w:lineRule="auto"/>
              <w:rPr>
                <w:rFonts w:ascii="Times New Roman" w:hAnsi="Times New Roman" w:cs="Times New Roman"/>
                <w:b/>
                <w:color w:val="373A3C"/>
              </w:rPr>
            </w:pPr>
            <w:r w:rsidRPr="00934C8A">
              <w:rPr>
                <w:rFonts w:ascii="Times New Roman" w:hAnsi="Times New Roman" w:cs="Times New Roman"/>
                <w:b/>
                <w:color w:val="373A3C"/>
              </w:rPr>
              <w:t>Type of Appointment:</w:t>
            </w:r>
          </w:p>
        </w:tc>
        <w:tc>
          <w:tcPr>
            <w:tcW w:w="3023" w:type="pct"/>
            <w:tcBorders>
              <w:top w:val="dotted" w:sz="4" w:space="0" w:color="auto"/>
              <w:left w:val="dotted" w:sz="4" w:space="0" w:color="auto"/>
              <w:bottom w:val="dotted" w:sz="4" w:space="0" w:color="auto"/>
              <w:right w:val="dotted" w:sz="4" w:space="0" w:color="auto"/>
            </w:tcBorders>
            <w:shd w:val="clear" w:color="auto" w:fill="auto"/>
          </w:tcPr>
          <w:p w14:paraId="020B9FF6" w14:textId="77777777" w:rsidR="00E96B90" w:rsidRPr="00934C8A" w:rsidRDefault="00E96B90" w:rsidP="00E05E09">
            <w:pPr>
              <w:spacing w:line="276" w:lineRule="auto"/>
              <w:rPr>
                <w:rFonts w:ascii="Times New Roman" w:hAnsi="Times New Roman" w:cs="Times New Roman"/>
                <w:bCs/>
                <w:color w:val="373A3C"/>
              </w:rPr>
            </w:pPr>
            <w:r w:rsidRPr="00934C8A">
              <w:rPr>
                <w:rFonts w:ascii="Times New Roman" w:hAnsi="Times New Roman" w:cs="Times New Roman"/>
                <w:bCs/>
                <w:color w:val="373A3C"/>
              </w:rPr>
              <w:t>Individual Consultant</w:t>
            </w:r>
          </w:p>
        </w:tc>
      </w:tr>
      <w:tr w:rsidR="00E96B90" w:rsidRPr="00934C8A" w14:paraId="4358084A" w14:textId="77777777" w:rsidTr="00E05E09">
        <w:tc>
          <w:tcPr>
            <w:tcW w:w="1977" w:type="pct"/>
            <w:shd w:val="clear" w:color="auto" w:fill="auto"/>
          </w:tcPr>
          <w:p w14:paraId="2706BB24" w14:textId="77777777" w:rsidR="00E96B90" w:rsidRPr="00934C8A" w:rsidRDefault="00E96B90" w:rsidP="00E05E09">
            <w:pPr>
              <w:spacing w:line="276" w:lineRule="auto"/>
              <w:rPr>
                <w:rFonts w:ascii="Times New Roman" w:hAnsi="Times New Roman" w:cs="Times New Roman"/>
                <w:b/>
                <w:color w:val="373A3C"/>
              </w:rPr>
            </w:pPr>
            <w:r w:rsidRPr="00934C8A">
              <w:rPr>
                <w:rFonts w:ascii="Times New Roman" w:hAnsi="Times New Roman" w:cs="Times New Roman"/>
                <w:b/>
                <w:color w:val="373A3C"/>
              </w:rPr>
              <w:t>Reference No.:</w:t>
            </w:r>
          </w:p>
        </w:tc>
        <w:tc>
          <w:tcPr>
            <w:tcW w:w="3023" w:type="pct"/>
            <w:shd w:val="clear" w:color="auto" w:fill="auto"/>
          </w:tcPr>
          <w:p w14:paraId="4846131D" w14:textId="74716120" w:rsidR="00E96B90" w:rsidRPr="00934C8A" w:rsidRDefault="004A05BB" w:rsidP="00E05E09">
            <w:pPr>
              <w:spacing w:line="276" w:lineRule="auto"/>
              <w:rPr>
                <w:rFonts w:ascii="Times New Roman" w:hAnsi="Times New Roman" w:cs="Times New Roman"/>
                <w:bCs/>
                <w:color w:val="373A3C"/>
              </w:rPr>
            </w:pPr>
            <w:r w:rsidRPr="00934C8A">
              <w:rPr>
                <w:rFonts w:ascii="Times New Roman" w:hAnsi="Times New Roman" w:cs="Times New Roman"/>
                <w:bCs/>
                <w:color w:val="373A3C"/>
              </w:rPr>
              <w:t>SO-MOEWR-</w:t>
            </w:r>
            <w:r w:rsidR="00BD7C44">
              <w:rPr>
                <w:rFonts w:ascii="Times New Roman" w:hAnsi="Times New Roman" w:cs="Times New Roman"/>
                <w:bCs/>
                <w:color w:val="373A3C"/>
              </w:rPr>
              <w:t>437019</w:t>
            </w:r>
            <w:r w:rsidRPr="00934C8A">
              <w:rPr>
                <w:rFonts w:ascii="Times New Roman" w:hAnsi="Times New Roman" w:cs="Times New Roman"/>
                <w:bCs/>
                <w:color w:val="373A3C"/>
              </w:rPr>
              <w:t>-CS-INDV</w:t>
            </w:r>
          </w:p>
        </w:tc>
      </w:tr>
      <w:tr w:rsidR="00E96B90" w:rsidRPr="00934C8A" w14:paraId="74E14C3E" w14:textId="77777777" w:rsidTr="00E05E09">
        <w:tc>
          <w:tcPr>
            <w:tcW w:w="1977" w:type="pct"/>
            <w:shd w:val="clear" w:color="auto" w:fill="auto"/>
          </w:tcPr>
          <w:p w14:paraId="2342E709" w14:textId="77777777" w:rsidR="00E96B90" w:rsidRPr="00934C8A" w:rsidRDefault="00E96B90" w:rsidP="00E05E09">
            <w:pPr>
              <w:spacing w:line="276" w:lineRule="auto"/>
              <w:rPr>
                <w:rFonts w:ascii="Times New Roman" w:hAnsi="Times New Roman" w:cs="Times New Roman"/>
                <w:b/>
                <w:color w:val="373A3C"/>
              </w:rPr>
            </w:pPr>
            <w:r w:rsidRPr="00934C8A">
              <w:rPr>
                <w:rFonts w:ascii="Times New Roman" w:hAnsi="Times New Roman" w:cs="Times New Roman"/>
                <w:b/>
                <w:color w:val="373A3C"/>
              </w:rPr>
              <w:t>Place of Assignment:</w:t>
            </w:r>
          </w:p>
        </w:tc>
        <w:tc>
          <w:tcPr>
            <w:tcW w:w="3023" w:type="pct"/>
            <w:shd w:val="clear" w:color="auto" w:fill="auto"/>
          </w:tcPr>
          <w:p w14:paraId="58A60A2D" w14:textId="77777777" w:rsidR="00E96B90" w:rsidRPr="00934C8A" w:rsidRDefault="00E96B90" w:rsidP="00E05E09">
            <w:pPr>
              <w:spacing w:line="276" w:lineRule="auto"/>
              <w:rPr>
                <w:rFonts w:ascii="Times New Roman" w:hAnsi="Times New Roman" w:cs="Times New Roman"/>
                <w:bCs/>
                <w:color w:val="373A3C"/>
              </w:rPr>
            </w:pPr>
            <w:r w:rsidRPr="00934C8A">
              <w:rPr>
                <w:rFonts w:ascii="Times New Roman" w:hAnsi="Times New Roman" w:cs="Times New Roman"/>
                <w:bCs/>
                <w:color w:val="373A3C"/>
              </w:rPr>
              <w:t>Mogadishu, Somalia</w:t>
            </w:r>
          </w:p>
        </w:tc>
      </w:tr>
    </w:tbl>
    <w:p w14:paraId="78C3007A" w14:textId="19A5E270" w:rsidR="008F7BB1" w:rsidRPr="00934C8A" w:rsidRDefault="00CB4F43" w:rsidP="008B0562">
      <w:pPr>
        <w:pStyle w:val="ListParagraph"/>
        <w:numPr>
          <w:ilvl w:val="0"/>
          <w:numId w:val="10"/>
        </w:numPr>
        <w:spacing w:before="120" w:after="120" w:line="276" w:lineRule="auto"/>
        <w:ind w:left="360"/>
        <w:jc w:val="both"/>
        <w:rPr>
          <w:rFonts w:ascii="Times New Roman" w:hAnsi="Times New Roman" w:cs="Times New Roman"/>
          <w:b/>
          <w:bCs/>
        </w:rPr>
      </w:pPr>
      <w:r w:rsidRPr="00934C8A">
        <w:rPr>
          <w:rFonts w:ascii="Times New Roman" w:hAnsi="Times New Roman" w:cs="Times New Roman"/>
          <w:b/>
          <w:bCs/>
        </w:rPr>
        <w:t>Background</w:t>
      </w:r>
      <w:r w:rsidR="00BC7AB4" w:rsidRPr="00934C8A">
        <w:rPr>
          <w:rFonts w:ascii="Times New Roman" w:hAnsi="Times New Roman" w:cs="Times New Roman"/>
          <w:b/>
          <w:bCs/>
        </w:rPr>
        <w:t xml:space="preserve">: </w:t>
      </w:r>
    </w:p>
    <w:p w14:paraId="5B645093" w14:textId="516EF6E5" w:rsidR="009C513A" w:rsidRPr="00934C8A" w:rsidRDefault="009C513A" w:rsidP="000A0D66">
      <w:pPr>
        <w:spacing w:before="120" w:line="276" w:lineRule="auto"/>
        <w:jc w:val="both"/>
        <w:rPr>
          <w:rFonts w:ascii="Times New Roman" w:hAnsi="Times New Roman" w:cs="Times New Roman"/>
        </w:rPr>
      </w:pPr>
      <w:r w:rsidRPr="00934C8A">
        <w:rPr>
          <w:rFonts w:ascii="Times New Roman" w:hAnsi="Times New Roman" w:cs="Times New Roman"/>
        </w:rPr>
        <w:t xml:space="preserve">The Federal Government of Somalia (the Government) has </w:t>
      </w:r>
      <w:r w:rsidR="00B44795">
        <w:rPr>
          <w:rFonts w:ascii="Times New Roman" w:hAnsi="Times New Roman" w:cs="Times New Roman"/>
        </w:rPr>
        <w:t>received</w:t>
      </w:r>
      <w:r w:rsidR="00B44795" w:rsidRPr="00934C8A">
        <w:rPr>
          <w:rFonts w:ascii="Times New Roman" w:hAnsi="Times New Roman" w:cs="Times New Roman"/>
        </w:rPr>
        <w:t xml:space="preserve"> </w:t>
      </w:r>
      <w:r w:rsidRPr="00934C8A">
        <w:rPr>
          <w:rFonts w:ascii="Times New Roman" w:hAnsi="Times New Roman" w:cs="Times New Roman"/>
        </w:rPr>
        <w:t xml:space="preserve">a grant from The World Bank to implement the Somali Electricity Sector Recovery Project (SESRP). The Project Development Objective is to increase access to lower cost and cleaner electricity supply in the project areas and to reestablish the electricity supply industry. </w:t>
      </w:r>
    </w:p>
    <w:p w14:paraId="4B28693E" w14:textId="0E0FB591" w:rsidR="00227A38" w:rsidRPr="009D1BF4" w:rsidRDefault="00CD2A99" w:rsidP="00265DCA">
      <w:pPr>
        <w:spacing w:before="120" w:after="120" w:line="276" w:lineRule="auto"/>
        <w:jc w:val="both"/>
        <w:rPr>
          <w:rFonts w:ascii="Times New Roman" w:hAnsi="Times New Roman" w:cs="Times New Roman"/>
        </w:rPr>
      </w:pPr>
      <w:r>
        <w:rPr>
          <w:rFonts w:ascii="Times New Roman" w:hAnsi="Times New Roman" w:cs="Times New Roman"/>
        </w:rPr>
        <w:t xml:space="preserve">As part of the re-establishment of the Electricity Supply Industry (ESI) the </w:t>
      </w:r>
      <w:r w:rsidR="006C5B1F">
        <w:rPr>
          <w:rFonts w:ascii="Times New Roman" w:hAnsi="Times New Roman" w:cs="Times New Roman"/>
        </w:rPr>
        <w:t xml:space="preserve">FGS has </w:t>
      </w:r>
      <w:r w:rsidR="009C513A" w:rsidRPr="00934C8A">
        <w:rPr>
          <w:rFonts w:ascii="Times New Roman" w:hAnsi="Times New Roman" w:cs="Times New Roman"/>
        </w:rPr>
        <w:t>recently enacted Electricity Law</w:t>
      </w:r>
      <w:r w:rsidR="006C5B1F">
        <w:rPr>
          <w:rFonts w:ascii="Times New Roman" w:hAnsi="Times New Roman" w:cs="Times New Roman"/>
        </w:rPr>
        <w:t xml:space="preserve"> </w:t>
      </w:r>
      <w:r w:rsidR="00CB0BE0">
        <w:rPr>
          <w:rFonts w:ascii="Times New Roman" w:hAnsi="Times New Roman" w:cs="Times New Roman"/>
        </w:rPr>
        <w:t>and</w:t>
      </w:r>
      <w:r w:rsidR="00CA3544">
        <w:rPr>
          <w:rFonts w:ascii="Times New Roman" w:hAnsi="Times New Roman" w:cs="Times New Roman"/>
        </w:rPr>
        <w:t xml:space="preserve"> established the National Electricity Authority (NEA)</w:t>
      </w:r>
      <w:r w:rsidR="00C83DF1">
        <w:rPr>
          <w:rFonts w:ascii="Times New Roman" w:hAnsi="Times New Roman" w:cs="Times New Roman"/>
        </w:rPr>
        <w:t xml:space="preserve">. The NEA key mandate is to </w:t>
      </w:r>
      <w:r w:rsidR="008D3227">
        <w:rPr>
          <w:rFonts w:ascii="Times New Roman" w:hAnsi="Times New Roman" w:cs="Times New Roman"/>
        </w:rPr>
        <w:t>regulate the electricity sector.</w:t>
      </w:r>
      <w:r w:rsidR="009C513A" w:rsidRPr="00934C8A">
        <w:rPr>
          <w:rFonts w:ascii="Times New Roman" w:hAnsi="Times New Roman" w:cs="Times New Roman"/>
        </w:rPr>
        <w:t xml:space="preserve"> In this regard, the MoEWR seeks to apply part of the proceeds of the SERP project to recruit a Legal Advisor to support the National Electricity Authority (NEA) undertake legal and regulation activities towards the operationalization and implementation of an effective regulatory framework.</w:t>
      </w:r>
    </w:p>
    <w:p w14:paraId="13879A56" w14:textId="5B3831A3" w:rsidR="00D478B1" w:rsidRDefault="00D478B1" w:rsidP="00382E23">
      <w:pPr>
        <w:pStyle w:val="ListParagraph"/>
        <w:numPr>
          <w:ilvl w:val="0"/>
          <w:numId w:val="10"/>
        </w:numPr>
        <w:spacing w:before="120" w:after="120" w:line="276" w:lineRule="auto"/>
        <w:ind w:left="360"/>
        <w:jc w:val="both"/>
        <w:rPr>
          <w:rFonts w:ascii="Times New Roman" w:eastAsia="Times New Roman" w:hAnsi="Times New Roman" w:cs="Times New Roman"/>
          <w:b/>
          <w:bCs/>
        </w:rPr>
      </w:pPr>
      <w:r>
        <w:rPr>
          <w:rFonts w:ascii="Times New Roman" w:eastAsia="Times New Roman" w:hAnsi="Times New Roman" w:cs="Times New Roman"/>
          <w:b/>
          <w:bCs/>
        </w:rPr>
        <w:t>Objective of the Assignment</w:t>
      </w:r>
    </w:p>
    <w:p w14:paraId="59298D4B" w14:textId="77777777" w:rsidR="00931CD0" w:rsidRDefault="00263B31" w:rsidP="00F355D9">
      <w:pPr>
        <w:spacing w:after="60" w:line="240" w:lineRule="atLeast"/>
        <w:rPr>
          <w:rFonts w:ascii="Times New Roman" w:hAnsi="Times New Roman" w:cs="Times New Roman"/>
          <w:bCs/>
          <w:color w:val="000000" w:themeColor="text1"/>
        </w:rPr>
      </w:pPr>
      <w:r w:rsidRPr="003F5141">
        <w:rPr>
          <w:rFonts w:ascii="Times New Roman" w:hAnsi="Times New Roman" w:cs="Times New Roman"/>
          <w:bCs/>
          <w:color w:val="000000" w:themeColor="text1"/>
        </w:rPr>
        <w:t>To support the MoE</w:t>
      </w:r>
      <w:r>
        <w:rPr>
          <w:rFonts w:ascii="Times New Roman" w:hAnsi="Times New Roman" w:cs="Times New Roman"/>
          <w:bCs/>
          <w:color w:val="000000" w:themeColor="text1"/>
        </w:rPr>
        <w:t>WR</w:t>
      </w:r>
      <w:r w:rsidRPr="003F5141">
        <w:rPr>
          <w:rFonts w:ascii="Times New Roman" w:hAnsi="Times New Roman" w:cs="Times New Roman"/>
          <w:bCs/>
          <w:color w:val="000000" w:themeColor="text1"/>
        </w:rPr>
        <w:t xml:space="preserve"> and </w:t>
      </w:r>
      <w:r w:rsidR="00931CD0">
        <w:rPr>
          <w:rFonts w:ascii="Times New Roman" w:hAnsi="Times New Roman" w:cs="Times New Roman"/>
          <w:bCs/>
          <w:color w:val="000000" w:themeColor="text1"/>
        </w:rPr>
        <w:t>NEA</w:t>
      </w:r>
      <w:r w:rsidRPr="003F5141">
        <w:rPr>
          <w:rFonts w:ascii="Times New Roman" w:hAnsi="Times New Roman" w:cs="Times New Roman"/>
          <w:bCs/>
          <w:color w:val="000000" w:themeColor="text1"/>
        </w:rPr>
        <w:t xml:space="preserve"> in developing an effective </w:t>
      </w:r>
      <w:r w:rsidR="00931CD0">
        <w:rPr>
          <w:rFonts w:ascii="Times New Roman" w:hAnsi="Times New Roman" w:cs="Times New Roman"/>
          <w:bCs/>
          <w:color w:val="000000" w:themeColor="text1"/>
        </w:rPr>
        <w:t xml:space="preserve">Legal, </w:t>
      </w:r>
      <w:r w:rsidRPr="003F5141">
        <w:rPr>
          <w:rFonts w:ascii="Times New Roman" w:hAnsi="Times New Roman" w:cs="Times New Roman"/>
          <w:bCs/>
          <w:color w:val="000000" w:themeColor="text1"/>
        </w:rPr>
        <w:t>Economic and Financial Regulatory framework to support the sector achieve economic and financial viability in electricity service delivery. This includes but is not limited to:</w:t>
      </w:r>
    </w:p>
    <w:p w14:paraId="2C7BF079" w14:textId="73FBEFF4" w:rsidR="00931CD0" w:rsidRPr="00977EFC" w:rsidRDefault="00263B31" w:rsidP="00977EFC">
      <w:pPr>
        <w:pStyle w:val="ListParagraph"/>
        <w:numPr>
          <w:ilvl w:val="0"/>
          <w:numId w:val="24"/>
        </w:numPr>
        <w:spacing w:after="60"/>
        <w:ind w:left="1080" w:hanging="720"/>
        <w:rPr>
          <w:rFonts w:ascii="Times New Roman" w:hAnsi="Times New Roman" w:cs="Times New Roman"/>
          <w:bCs/>
        </w:rPr>
      </w:pPr>
      <w:r w:rsidRPr="00977EFC">
        <w:rPr>
          <w:rFonts w:ascii="Times New Roman" w:hAnsi="Times New Roman" w:cs="Times New Roman"/>
          <w:bCs/>
        </w:rPr>
        <w:t>To provide legal guidance on the establishment of effective regulations and guidelines in line with the Electricity Act</w:t>
      </w:r>
      <w:r w:rsidR="00EB1DA2">
        <w:rPr>
          <w:rFonts w:ascii="Times New Roman" w:hAnsi="Times New Roman" w:cs="Times New Roman"/>
          <w:bCs/>
        </w:rPr>
        <w:t>.</w:t>
      </w:r>
      <w:r w:rsidRPr="00977EFC">
        <w:rPr>
          <w:rFonts w:ascii="Times New Roman" w:hAnsi="Times New Roman" w:cs="Times New Roman"/>
          <w:bCs/>
        </w:rPr>
        <w:t xml:space="preserve"> </w:t>
      </w:r>
    </w:p>
    <w:p w14:paraId="36CF6EAC" w14:textId="065BC20C" w:rsidR="00931CD0" w:rsidRPr="00977EFC" w:rsidRDefault="00263B31" w:rsidP="00977EFC">
      <w:pPr>
        <w:pStyle w:val="ListParagraph"/>
        <w:numPr>
          <w:ilvl w:val="0"/>
          <w:numId w:val="24"/>
        </w:numPr>
        <w:spacing w:after="60"/>
        <w:ind w:left="1080" w:hanging="720"/>
        <w:rPr>
          <w:rFonts w:ascii="Times New Roman" w:hAnsi="Times New Roman" w:cs="Times New Roman"/>
          <w:bCs/>
        </w:rPr>
      </w:pPr>
      <w:r w:rsidRPr="00977EFC">
        <w:rPr>
          <w:rFonts w:ascii="Times New Roman" w:hAnsi="Times New Roman" w:cs="Times New Roman"/>
          <w:bCs/>
        </w:rPr>
        <w:t xml:space="preserve">Ensure effective legal guidance and representation of the </w:t>
      </w:r>
      <w:r w:rsidR="000C3848">
        <w:rPr>
          <w:rFonts w:ascii="Times New Roman" w:hAnsi="Times New Roman" w:cs="Times New Roman"/>
          <w:bCs/>
        </w:rPr>
        <w:t>NEA</w:t>
      </w:r>
      <w:r w:rsidRPr="00977EFC">
        <w:rPr>
          <w:rFonts w:ascii="Times New Roman" w:hAnsi="Times New Roman" w:cs="Times New Roman"/>
          <w:bCs/>
        </w:rPr>
        <w:t xml:space="preserve"> in executing its mandate in the Act.</w:t>
      </w:r>
    </w:p>
    <w:p w14:paraId="27E0E0CC" w14:textId="600107BB" w:rsidR="000C3848" w:rsidRDefault="00263B31" w:rsidP="00D06A14">
      <w:pPr>
        <w:pStyle w:val="ListParagraph"/>
        <w:numPr>
          <w:ilvl w:val="0"/>
          <w:numId w:val="24"/>
        </w:numPr>
        <w:spacing w:after="60"/>
        <w:ind w:left="1080" w:hanging="720"/>
        <w:rPr>
          <w:rFonts w:ascii="Times New Roman" w:hAnsi="Times New Roman" w:cs="Times New Roman"/>
          <w:bCs/>
        </w:rPr>
      </w:pPr>
      <w:r w:rsidRPr="00977EFC">
        <w:rPr>
          <w:rFonts w:ascii="Times New Roman" w:hAnsi="Times New Roman" w:cs="Times New Roman"/>
          <w:bCs/>
        </w:rPr>
        <w:t xml:space="preserve">Provide technical expertise and guidance resourcefully to the other departments and operations of the </w:t>
      </w:r>
      <w:r w:rsidR="000C3848">
        <w:rPr>
          <w:rFonts w:ascii="Times New Roman" w:hAnsi="Times New Roman" w:cs="Times New Roman"/>
          <w:bCs/>
        </w:rPr>
        <w:t>Authority.</w:t>
      </w:r>
    </w:p>
    <w:p w14:paraId="302D1E28" w14:textId="65BAA086" w:rsidR="00120554" w:rsidRPr="00977EFC" w:rsidRDefault="00263B31" w:rsidP="00977EFC">
      <w:pPr>
        <w:pStyle w:val="ListParagraph"/>
        <w:numPr>
          <w:ilvl w:val="0"/>
          <w:numId w:val="24"/>
        </w:numPr>
        <w:spacing w:after="60"/>
        <w:ind w:left="1080" w:hanging="720"/>
        <w:rPr>
          <w:rFonts w:ascii="Times New Roman" w:hAnsi="Times New Roman" w:cs="Times New Roman"/>
          <w:bCs/>
        </w:rPr>
      </w:pPr>
      <w:r w:rsidRPr="00977EFC">
        <w:rPr>
          <w:rFonts w:ascii="Times New Roman" w:hAnsi="Times New Roman" w:cs="Times New Roman"/>
          <w:bCs/>
        </w:rPr>
        <w:t>Ensure an effective legal and regulatory governance and process</w:t>
      </w:r>
      <w:r w:rsidR="000C3848">
        <w:rPr>
          <w:rFonts w:ascii="Times New Roman" w:hAnsi="Times New Roman" w:cs="Times New Roman"/>
          <w:bCs/>
        </w:rPr>
        <w:t>.</w:t>
      </w:r>
    </w:p>
    <w:p w14:paraId="24659C12" w14:textId="4C3A361B" w:rsidR="00263B31" w:rsidRPr="00977EFC" w:rsidRDefault="00263B31" w:rsidP="00977EFC">
      <w:pPr>
        <w:pStyle w:val="ListParagraph"/>
        <w:numPr>
          <w:ilvl w:val="0"/>
          <w:numId w:val="24"/>
        </w:numPr>
        <w:spacing w:after="60"/>
        <w:ind w:left="1080" w:hanging="720"/>
        <w:rPr>
          <w:rFonts w:ascii="Times New Roman" w:hAnsi="Times New Roman" w:cs="Times New Roman"/>
          <w:bCs/>
          <w:color w:val="000000" w:themeColor="text1"/>
        </w:rPr>
      </w:pPr>
      <w:r w:rsidRPr="00977EFC">
        <w:rPr>
          <w:rFonts w:ascii="Times New Roman" w:hAnsi="Times New Roman" w:cs="Times New Roman"/>
          <w:bCs/>
          <w:caps/>
        </w:rPr>
        <w:lastRenderedPageBreak/>
        <w:t>P</w:t>
      </w:r>
      <w:r w:rsidRPr="00977EFC">
        <w:rPr>
          <w:rFonts w:ascii="Times New Roman" w:hAnsi="Times New Roman" w:cs="Times New Roman"/>
          <w:bCs/>
        </w:rPr>
        <w:t xml:space="preserve">rovide oversight for all the affairs of the </w:t>
      </w:r>
      <w:r w:rsidR="000C3848">
        <w:rPr>
          <w:rFonts w:ascii="Times New Roman" w:hAnsi="Times New Roman" w:cs="Times New Roman"/>
          <w:bCs/>
        </w:rPr>
        <w:t xml:space="preserve">Authority </w:t>
      </w:r>
      <w:r w:rsidRPr="00977EFC">
        <w:rPr>
          <w:rFonts w:ascii="Times New Roman" w:hAnsi="Times New Roman" w:cs="Times New Roman"/>
          <w:bCs/>
        </w:rPr>
        <w:t>ensuring efficient meetings, documenting resolutions, and monitoring the execution of agreed actions</w:t>
      </w:r>
      <w:r w:rsidR="00D27D00">
        <w:rPr>
          <w:rFonts w:ascii="Times New Roman" w:hAnsi="Times New Roman" w:cs="Times New Roman"/>
          <w:bCs/>
        </w:rPr>
        <w:t>.</w:t>
      </w:r>
    </w:p>
    <w:p w14:paraId="0C018173" w14:textId="77777777" w:rsidR="00D478B1" w:rsidRDefault="00D478B1" w:rsidP="00977EFC">
      <w:pPr>
        <w:pStyle w:val="ListParagraph"/>
        <w:spacing w:before="120" w:after="120" w:line="276" w:lineRule="auto"/>
        <w:ind w:left="360"/>
        <w:jc w:val="both"/>
        <w:rPr>
          <w:rFonts w:ascii="Times New Roman" w:eastAsia="Times New Roman" w:hAnsi="Times New Roman" w:cs="Times New Roman"/>
          <w:b/>
          <w:bCs/>
        </w:rPr>
      </w:pPr>
    </w:p>
    <w:p w14:paraId="2B3FFBF0" w14:textId="1E5A3248" w:rsidR="00C07AB9" w:rsidRDefault="002E5D83" w:rsidP="00977EFC">
      <w:pPr>
        <w:pStyle w:val="ListParagraph"/>
        <w:numPr>
          <w:ilvl w:val="0"/>
          <w:numId w:val="10"/>
        </w:numPr>
        <w:spacing w:before="120" w:after="120"/>
        <w:ind w:left="360"/>
        <w:jc w:val="both"/>
        <w:rPr>
          <w:rFonts w:ascii="Times New Roman" w:eastAsia="Times New Roman" w:hAnsi="Times New Roman" w:cs="Times New Roman"/>
          <w:b/>
          <w:bCs/>
        </w:rPr>
      </w:pPr>
      <w:r w:rsidRPr="00934C8A">
        <w:rPr>
          <w:rFonts w:ascii="Times New Roman" w:eastAsia="Times New Roman" w:hAnsi="Times New Roman" w:cs="Times New Roman"/>
          <w:b/>
          <w:bCs/>
        </w:rPr>
        <w:t xml:space="preserve">Scope of </w:t>
      </w:r>
      <w:r w:rsidR="00691852">
        <w:rPr>
          <w:rFonts w:ascii="Times New Roman" w:eastAsia="Times New Roman" w:hAnsi="Times New Roman" w:cs="Times New Roman"/>
          <w:b/>
          <w:bCs/>
        </w:rPr>
        <w:t>the Assignment</w:t>
      </w:r>
      <w:r w:rsidR="00C07AB9">
        <w:rPr>
          <w:rFonts w:ascii="Times New Roman" w:eastAsia="Times New Roman" w:hAnsi="Times New Roman" w:cs="Times New Roman"/>
          <w:b/>
          <w:bCs/>
        </w:rPr>
        <w:t>.</w:t>
      </w:r>
    </w:p>
    <w:p w14:paraId="4C2524CD" w14:textId="0547C7DB" w:rsidR="008F7874" w:rsidRPr="00977EFC" w:rsidRDefault="00BC7AB4" w:rsidP="00977EFC">
      <w:pPr>
        <w:spacing w:before="120" w:after="120"/>
        <w:jc w:val="both"/>
        <w:rPr>
          <w:rFonts w:ascii="Times New Roman" w:eastAsia="Times New Roman" w:hAnsi="Times New Roman" w:cs="Times New Roman"/>
        </w:rPr>
      </w:pPr>
      <w:r w:rsidRPr="00977EFC">
        <w:rPr>
          <w:rFonts w:ascii="Times New Roman" w:eastAsia="Times New Roman" w:hAnsi="Times New Roman" w:cs="Times New Roman"/>
          <w:b/>
          <w:bCs/>
        </w:rPr>
        <w:t xml:space="preserve"> </w:t>
      </w:r>
      <w:r w:rsidR="008F7874" w:rsidRPr="00977EFC">
        <w:rPr>
          <w:rFonts w:ascii="Times New Roman" w:eastAsia="Times New Roman" w:hAnsi="Times New Roman" w:cs="Times New Roman"/>
        </w:rPr>
        <w:t>The duties and responsibilities of the Legal Advisor will include</w:t>
      </w:r>
      <w:r w:rsidR="007127D8">
        <w:rPr>
          <w:rFonts w:ascii="Times New Roman" w:eastAsia="Times New Roman" w:hAnsi="Times New Roman" w:cs="Times New Roman"/>
        </w:rPr>
        <w:t xml:space="preserve">, but not be </w:t>
      </w:r>
      <w:r w:rsidR="00B712A6">
        <w:rPr>
          <w:rFonts w:ascii="Times New Roman" w:eastAsia="Times New Roman" w:hAnsi="Times New Roman" w:cs="Times New Roman"/>
        </w:rPr>
        <w:t>limited, to</w:t>
      </w:r>
      <w:r w:rsidR="008F7874" w:rsidRPr="00977EFC">
        <w:rPr>
          <w:rFonts w:ascii="Times New Roman" w:eastAsia="Times New Roman" w:hAnsi="Times New Roman" w:cs="Times New Roman"/>
        </w:rPr>
        <w:t xml:space="preserve"> the following:</w:t>
      </w:r>
    </w:p>
    <w:p w14:paraId="4801B632" w14:textId="2FEE969A" w:rsidR="008F7874" w:rsidRPr="00977EFC" w:rsidRDefault="008F7874" w:rsidP="00977EFC">
      <w:pPr>
        <w:pStyle w:val="ListParagraph"/>
        <w:numPr>
          <w:ilvl w:val="1"/>
          <w:numId w:val="25"/>
        </w:numPr>
        <w:spacing w:before="120" w:after="120"/>
        <w:ind w:left="1080"/>
        <w:jc w:val="both"/>
        <w:rPr>
          <w:rFonts w:ascii="Times New Roman" w:eastAsia="Times New Roman" w:hAnsi="Times New Roman" w:cs="Times New Roman"/>
        </w:rPr>
      </w:pPr>
      <w:r w:rsidRPr="00977EFC">
        <w:rPr>
          <w:rFonts w:ascii="Times New Roman" w:eastAsia="Times New Roman" w:hAnsi="Times New Roman" w:cs="Times New Roman"/>
        </w:rPr>
        <w:t>Contribute to policy formulation and regulations and standards.</w:t>
      </w:r>
    </w:p>
    <w:p w14:paraId="04B78152" w14:textId="5FFA42A6" w:rsidR="008F7874" w:rsidRPr="00977EFC" w:rsidRDefault="008F7874" w:rsidP="00977EFC">
      <w:pPr>
        <w:pStyle w:val="ListParagraph"/>
        <w:numPr>
          <w:ilvl w:val="1"/>
          <w:numId w:val="25"/>
        </w:numPr>
        <w:spacing w:before="120" w:after="120"/>
        <w:ind w:left="1080"/>
        <w:jc w:val="both"/>
        <w:rPr>
          <w:rFonts w:ascii="Times New Roman" w:eastAsia="Times New Roman" w:hAnsi="Times New Roman" w:cs="Times New Roman"/>
        </w:rPr>
      </w:pPr>
      <w:r w:rsidRPr="00977EFC">
        <w:rPr>
          <w:rFonts w:ascii="Times New Roman" w:eastAsia="Times New Roman" w:hAnsi="Times New Roman" w:cs="Times New Roman"/>
        </w:rPr>
        <w:t xml:space="preserve">Draft legal documents in association with other legal officers within </w:t>
      </w:r>
      <w:r w:rsidR="003107B7">
        <w:rPr>
          <w:rFonts w:ascii="Times New Roman" w:eastAsia="Times New Roman" w:hAnsi="Times New Roman" w:cs="Times New Roman"/>
        </w:rPr>
        <w:t>NEA</w:t>
      </w:r>
      <w:r w:rsidRPr="00977EFC">
        <w:rPr>
          <w:rFonts w:ascii="Times New Roman" w:eastAsia="Times New Roman" w:hAnsi="Times New Roman" w:cs="Times New Roman"/>
        </w:rPr>
        <w:t xml:space="preserve"> and or any other external service providers.</w:t>
      </w:r>
    </w:p>
    <w:p w14:paraId="17466627" w14:textId="5C102509" w:rsidR="008F7874" w:rsidRPr="00977EFC" w:rsidRDefault="008F7874" w:rsidP="00977EFC">
      <w:pPr>
        <w:pStyle w:val="ListParagraph"/>
        <w:numPr>
          <w:ilvl w:val="1"/>
          <w:numId w:val="25"/>
        </w:numPr>
        <w:spacing w:before="120" w:after="120"/>
        <w:ind w:left="1080"/>
        <w:jc w:val="both"/>
        <w:rPr>
          <w:rFonts w:ascii="Times New Roman" w:eastAsia="Times New Roman" w:hAnsi="Times New Roman" w:cs="Times New Roman"/>
        </w:rPr>
      </w:pPr>
      <w:r w:rsidRPr="00977EFC">
        <w:rPr>
          <w:rFonts w:ascii="Times New Roman" w:eastAsia="Times New Roman" w:hAnsi="Times New Roman" w:cs="Times New Roman"/>
        </w:rPr>
        <w:t>Initiate the development of work plans and budgets for the department.</w:t>
      </w:r>
    </w:p>
    <w:p w14:paraId="02C9A03E" w14:textId="4F04E91E" w:rsidR="008F7874" w:rsidRPr="00977EFC" w:rsidRDefault="008F7874" w:rsidP="00977EFC">
      <w:pPr>
        <w:pStyle w:val="ListParagraph"/>
        <w:numPr>
          <w:ilvl w:val="1"/>
          <w:numId w:val="25"/>
        </w:numPr>
        <w:spacing w:before="120" w:after="120"/>
        <w:ind w:left="1080"/>
        <w:jc w:val="both"/>
        <w:rPr>
          <w:rFonts w:ascii="Times New Roman" w:eastAsia="Times New Roman" w:hAnsi="Times New Roman" w:cs="Times New Roman"/>
        </w:rPr>
      </w:pPr>
      <w:r w:rsidRPr="00977EFC">
        <w:rPr>
          <w:rFonts w:ascii="Times New Roman" w:eastAsia="Times New Roman" w:hAnsi="Times New Roman" w:cs="Times New Roman"/>
        </w:rPr>
        <w:t xml:space="preserve">Review the information and registry policy of </w:t>
      </w:r>
      <w:r w:rsidR="003107B7">
        <w:rPr>
          <w:rFonts w:ascii="Times New Roman" w:eastAsia="Times New Roman" w:hAnsi="Times New Roman" w:cs="Times New Roman"/>
        </w:rPr>
        <w:t>NEA</w:t>
      </w:r>
      <w:r w:rsidRPr="00977EFC">
        <w:rPr>
          <w:rFonts w:ascii="Times New Roman" w:eastAsia="Times New Roman" w:hAnsi="Times New Roman" w:cs="Times New Roman"/>
        </w:rPr>
        <w:t xml:space="preserve"> as the need arises from time to time.</w:t>
      </w:r>
    </w:p>
    <w:p w14:paraId="0C15153C" w14:textId="5C2DDC4C" w:rsidR="008F7874" w:rsidRPr="00977EFC" w:rsidRDefault="008F7874" w:rsidP="00977EFC">
      <w:pPr>
        <w:pStyle w:val="ListParagraph"/>
        <w:numPr>
          <w:ilvl w:val="1"/>
          <w:numId w:val="25"/>
        </w:numPr>
        <w:spacing w:before="120" w:after="120"/>
        <w:ind w:left="1080"/>
        <w:jc w:val="both"/>
        <w:rPr>
          <w:rFonts w:ascii="Times New Roman" w:eastAsia="Times New Roman" w:hAnsi="Times New Roman" w:cs="Times New Roman"/>
        </w:rPr>
      </w:pPr>
      <w:r w:rsidRPr="00977EFC">
        <w:rPr>
          <w:rFonts w:ascii="Times New Roman" w:eastAsia="Times New Roman" w:hAnsi="Times New Roman" w:cs="Times New Roman"/>
        </w:rPr>
        <w:t>Monitor licensee operations and work in liaison with other departments to enforce legal compliance of all licensees.</w:t>
      </w:r>
    </w:p>
    <w:p w14:paraId="6560CCA8" w14:textId="6C08EB34" w:rsidR="008F7874" w:rsidRPr="00977EFC" w:rsidRDefault="008F7874" w:rsidP="00977EFC">
      <w:pPr>
        <w:pStyle w:val="ListParagraph"/>
        <w:numPr>
          <w:ilvl w:val="1"/>
          <w:numId w:val="25"/>
        </w:numPr>
        <w:spacing w:before="120" w:after="120"/>
        <w:ind w:left="1080"/>
        <w:jc w:val="both"/>
        <w:rPr>
          <w:rFonts w:ascii="Times New Roman" w:eastAsia="Times New Roman" w:hAnsi="Times New Roman" w:cs="Times New Roman"/>
        </w:rPr>
      </w:pPr>
      <w:r w:rsidRPr="00977EFC">
        <w:rPr>
          <w:rFonts w:ascii="Times New Roman" w:eastAsia="Times New Roman" w:hAnsi="Times New Roman" w:cs="Times New Roman"/>
        </w:rPr>
        <w:t>Co-ordinate the work of the Licensing and Projects regarding new applications to ensure legal compliance and fair outcomes.</w:t>
      </w:r>
    </w:p>
    <w:p w14:paraId="4D984633" w14:textId="2D34290C" w:rsidR="008F7874" w:rsidRPr="00977EFC" w:rsidRDefault="008F7874" w:rsidP="00977EFC">
      <w:pPr>
        <w:pStyle w:val="ListParagraph"/>
        <w:numPr>
          <w:ilvl w:val="1"/>
          <w:numId w:val="25"/>
        </w:numPr>
        <w:spacing w:before="120" w:after="120"/>
        <w:ind w:left="1080"/>
        <w:jc w:val="both"/>
        <w:rPr>
          <w:rFonts w:ascii="Times New Roman" w:eastAsia="Times New Roman" w:hAnsi="Times New Roman" w:cs="Times New Roman"/>
        </w:rPr>
      </w:pPr>
      <w:r w:rsidRPr="00977EFC">
        <w:rPr>
          <w:rFonts w:ascii="Times New Roman" w:eastAsia="Times New Roman" w:hAnsi="Times New Roman" w:cs="Times New Roman"/>
        </w:rPr>
        <w:t>Review licenses for appropriateness of terms, conditions, and related obligations before issuance.</w:t>
      </w:r>
    </w:p>
    <w:p w14:paraId="65C9E9BE" w14:textId="5EA0F41B" w:rsidR="008F7874" w:rsidRPr="00977EFC" w:rsidRDefault="008F7874" w:rsidP="00977EFC">
      <w:pPr>
        <w:pStyle w:val="ListParagraph"/>
        <w:numPr>
          <w:ilvl w:val="1"/>
          <w:numId w:val="25"/>
        </w:numPr>
        <w:spacing w:before="120" w:after="120"/>
        <w:ind w:left="1080"/>
        <w:jc w:val="both"/>
        <w:rPr>
          <w:rFonts w:ascii="Times New Roman" w:eastAsia="Times New Roman" w:hAnsi="Times New Roman" w:cs="Times New Roman"/>
        </w:rPr>
      </w:pPr>
      <w:r w:rsidRPr="00977EFC">
        <w:rPr>
          <w:rFonts w:ascii="Times New Roman" w:eastAsia="Times New Roman" w:hAnsi="Times New Roman" w:cs="Times New Roman"/>
        </w:rPr>
        <w:t xml:space="preserve">Maintenance of Registry and Copies of all official </w:t>
      </w:r>
      <w:r w:rsidR="00CF7D8A">
        <w:rPr>
          <w:rFonts w:ascii="Times New Roman" w:eastAsia="Times New Roman" w:hAnsi="Times New Roman" w:cs="Times New Roman"/>
        </w:rPr>
        <w:t>Authority</w:t>
      </w:r>
      <w:r w:rsidRPr="00977EFC">
        <w:rPr>
          <w:rFonts w:ascii="Times New Roman" w:eastAsia="Times New Roman" w:hAnsi="Times New Roman" w:cs="Times New Roman"/>
        </w:rPr>
        <w:t xml:space="preserve"> documents.</w:t>
      </w:r>
    </w:p>
    <w:p w14:paraId="0E19085A" w14:textId="6049EE34" w:rsidR="008F7874" w:rsidRPr="00977EFC" w:rsidRDefault="008F7874" w:rsidP="00977EFC">
      <w:pPr>
        <w:pStyle w:val="ListParagraph"/>
        <w:numPr>
          <w:ilvl w:val="1"/>
          <w:numId w:val="25"/>
        </w:numPr>
        <w:spacing w:before="120" w:after="120"/>
        <w:ind w:left="1080"/>
        <w:jc w:val="both"/>
        <w:rPr>
          <w:rFonts w:ascii="Times New Roman" w:eastAsia="Times New Roman" w:hAnsi="Times New Roman" w:cs="Times New Roman"/>
        </w:rPr>
      </w:pPr>
      <w:r w:rsidRPr="00977EFC">
        <w:rPr>
          <w:rFonts w:ascii="Times New Roman" w:eastAsia="Times New Roman" w:hAnsi="Times New Roman" w:cs="Times New Roman"/>
        </w:rPr>
        <w:t xml:space="preserve">Support the </w:t>
      </w:r>
      <w:r w:rsidR="00CF7D8A">
        <w:rPr>
          <w:rFonts w:ascii="Times New Roman" w:eastAsia="Times New Roman" w:hAnsi="Times New Roman" w:cs="Times New Roman"/>
        </w:rPr>
        <w:t>Authority</w:t>
      </w:r>
      <w:r w:rsidRPr="00977EFC">
        <w:rPr>
          <w:rFonts w:ascii="Times New Roman" w:eastAsia="Times New Roman" w:hAnsi="Times New Roman" w:cs="Times New Roman"/>
        </w:rPr>
        <w:t xml:space="preserve"> in ensuring effective compliance with the set legal and Regulatory framework.</w:t>
      </w:r>
    </w:p>
    <w:p w14:paraId="71620E81" w14:textId="0C590E81" w:rsidR="008F7874" w:rsidRPr="00977EFC" w:rsidRDefault="008F7874" w:rsidP="00977EFC">
      <w:pPr>
        <w:pStyle w:val="ListParagraph"/>
        <w:numPr>
          <w:ilvl w:val="1"/>
          <w:numId w:val="25"/>
        </w:numPr>
        <w:spacing w:before="120" w:after="120"/>
        <w:ind w:left="1080"/>
        <w:jc w:val="both"/>
        <w:rPr>
          <w:rFonts w:ascii="Times New Roman" w:eastAsia="Times New Roman" w:hAnsi="Times New Roman" w:cs="Times New Roman"/>
        </w:rPr>
      </w:pPr>
      <w:r w:rsidRPr="00977EFC">
        <w:rPr>
          <w:rFonts w:ascii="Times New Roman" w:eastAsia="Times New Roman" w:hAnsi="Times New Roman" w:cs="Times New Roman"/>
        </w:rPr>
        <w:t xml:space="preserve">Identify the need for Policy, Legislation, or Amendments to existing Policies and Legislation and advise the </w:t>
      </w:r>
      <w:r w:rsidR="00CF7D8A">
        <w:rPr>
          <w:rFonts w:ascii="Times New Roman" w:eastAsia="Times New Roman" w:hAnsi="Times New Roman" w:cs="Times New Roman"/>
        </w:rPr>
        <w:t xml:space="preserve">Authority </w:t>
      </w:r>
      <w:r w:rsidRPr="00977EFC">
        <w:rPr>
          <w:rFonts w:ascii="Times New Roman" w:eastAsia="Times New Roman" w:hAnsi="Times New Roman" w:cs="Times New Roman"/>
        </w:rPr>
        <w:t>accordingly.</w:t>
      </w:r>
    </w:p>
    <w:p w14:paraId="1B0AA79A" w14:textId="4AE9BBE7" w:rsidR="008F7874" w:rsidRPr="00977EFC" w:rsidRDefault="008F7874" w:rsidP="00977EFC">
      <w:pPr>
        <w:pStyle w:val="ListParagraph"/>
        <w:numPr>
          <w:ilvl w:val="1"/>
          <w:numId w:val="25"/>
        </w:numPr>
        <w:spacing w:before="120" w:after="120"/>
        <w:ind w:left="1080"/>
        <w:jc w:val="both"/>
        <w:rPr>
          <w:rFonts w:ascii="Times New Roman" w:eastAsia="Times New Roman" w:hAnsi="Times New Roman" w:cs="Times New Roman"/>
        </w:rPr>
      </w:pPr>
      <w:r w:rsidRPr="00977EFC">
        <w:rPr>
          <w:rFonts w:ascii="Times New Roman" w:eastAsia="Times New Roman" w:hAnsi="Times New Roman" w:cs="Times New Roman"/>
        </w:rPr>
        <w:t>Facilitates Negotiation and Arbitration in Dispute Resolution matters arising from all Regulatory matters.</w:t>
      </w:r>
    </w:p>
    <w:p w14:paraId="02CC8A2D" w14:textId="6571EFF3" w:rsidR="008F7874" w:rsidRPr="00977EFC" w:rsidRDefault="008F7874" w:rsidP="00977EFC">
      <w:pPr>
        <w:pStyle w:val="ListParagraph"/>
        <w:numPr>
          <w:ilvl w:val="1"/>
          <w:numId w:val="25"/>
        </w:numPr>
        <w:spacing w:before="120" w:after="120"/>
        <w:ind w:left="1080"/>
        <w:jc w:val="both"/>
        <w:rPr>
          <w:rFonts w:ascii="Times New Roman" w:eastAsia="Times New Roman" w:hAnsi="Times New Roman" w:cs="Times New Roman"/>
        </w:rPr>
      </w:pPr>
      <w:r w:rsidRPr="00977EFC">
        <w:rPr>
          <w:rFonts w:ascii="Times New Roman" w:eastAsia="Times New Roman" w:hAnsi="Times New Roman" w:cs="Times New Roman"/>
        </w:rPr>
        <w:t xml:space="preserve">Mentor and supervise staff in the department to contribute to the fulfillment of the </w:t>
      </w:r>
      <w:r w:rsidR="00966806">
        <w:rPr>
          <w:rFonts w:ascii="Times New Roman" w:eastAsia="Times New Roman" w:hAnsi="Times New Roman" w:cs="Times New Roman"/>
        </w:rPr>
        <w:t>Authority</w:t>
      </w:r>
      <w:r w:rsidRPr="00977EFC">
        <w:rPr>
          <w:rFonts w:ascii="Times New Roman" w:eastAsia="Times New Roman" w:hAnsi="Times New Roman" w:cs="Times New Roman"/>
        </w:rPr>
        <w:t>’s Mission.</w:t>
      </w:r>
    </w:p>
    <w:p w14:paraId="456E5492" w14:textId="494C0A5C" w:rsidR="002E5D83" w:rsidRDefault="008F7874" w:rsidP="008F7874">
      <w:pPr>
        <w:pStyle w:val="ListParagraph"/>
        <w:numPr>
          <w:ilvl w:val="1"/>
          <w:numId w:val="25"/>
        </w:numPr>
        <w:spacing w:before="120" w:after="120"/>
        <w:ind w:left="1080"/>
        <w:jc w:val="both"/>
        <w:rPr>
          <w:rFonts w:ascii="Times New Roman" w:eastAsia="Times New Roman" w:hAnsi="Times New Roman" w:cs="Times New Roman"/>
        </w:rPr>
      </w:pPr>
      <w:r w:rsidRPr="00977EFC">
        <w:rPr>
          <w:rFonts w:ascii="Times New Roman" w:eastAsia="Times New Roman" w:hAnsi="Times New Roman" w:cs="Times New Roman"/>
        </w:rPr>
        <w:t xml:space="preserve">Data Collection: conduct research on topical issues on Energy Legal and Regulatory issues in </w:t>
      </w:r>
      <w:r w:rsidR="00966806">
        <w:rPr>
          <w:rFonts w:ascii="Times New Roman" w:eastAsia="Times New Roman" w:hAnsi="Times New Roman" w:cs="Times New Roman"/>
        </w:rPr>
        <w:t>the</w:t>
      </w:r>
      <w:r w:rsidR="0062648F">
        <w:rPr>
          <w:rFonts w:ascii="Times New Roman" w:eastAsia="Times New Roman" w:hAnsi="Times New Roman" w:cs="Times New Roman"/>
        </w:rPr>
        <w:t xml:space="preserve"> country</w:t>
      </w:r>
      <w:r w:rsidRPr="00977EFC">
        <w:rPr>
          <w:rFonts w:ascii="Times New Roman" w:eastAsia="Times New Roman" w:hAnsi="Times New Roman" w:cs="Times New Roman"/>
        </w:rPr>
        <w:t>.</w:t>
      </w:r>
    </w:p>
    <w:p w14:paraId="66B33B05" w14:textId="7B3B1347" w:rsidR="00265DCA" w:rsidRDefault="0062648F" w:rsidP="00A652D6">
      <w:pPr>
        <w:pStyle w:val="ListParagraph"/>
        <w:numPr>
          <w:ilvl w:val="1"/>
          <w:numId w:val="25"/>
        </w:numPr>
        <w:spacing w:before="120" w:after="120"/>
        <w:ind w:left="1080"/>
        <w:jc w:val="both"/>
        <w:rPr>
          <w:rFonts w:ascii="Times New Roman" w:eastAsia="Times New Roman" w:hAnsi="Times New Roman" w:cs="Times New Roman"/>
        </w:rPr>
      </w:pPr>
      <w:r>
        <w:rPr>
          <w:rFonts w:ascii="Times New Roman" w:eastAsia="Times New Roman" w:hAnsi="Times New Roman" w:cs="Times New Roman"/>
        </w:rPr>
        <w:t xml:space="preserve">Any other assignment as </w:t>
      </w:r>
      <w:r w:rsidR="00A652D6">
        <w:rPr>
          <w:rFonts w:ascii="Times New Roman" w:eastAsia="Times New Roman" w:hAnsi="Times New Roman" w:cs="Times New Roman"/>
        </w:rPr>
        <w:t>may be</w:t>
      </w:r>
      <w:r>
        <w:rPr>
          <w:rFonts w:ascii="Times New Roman" w:eastAsia="Times New Roman" w:hAnsi="Times New Roman" w:cs="Times New Roman"/>
        </w:rPr>
        <w:t xml:space="preserve"> requested by the Authority.</w:t>
      </w:r>
    </w:p>
    <w:p w14:paraId="47891877" w14:textId="77777777" w:rsidR="00A652D6" w:rsidRPr="00A652D6" w:rsidRDefault="00A652D6" w:rsidP="00A652D6">
      <w:pPr>
        <w:pStyle w:val="ListParagraph"/>
        <w:spacing w:before="120" w:after="120"/>
        <w:ind w:left="1080"/>
        <w:jc w:val="both"/>
        <w:rPr>
          <w:rFonts w:ascii="Times New Roman" w:eastAsia="Times New Roman" w:hAnsi="Times New Roman" w:cs="Times New Roman"/>
        </w:rPr>
      </w:pPr>
    </w:p>
    <w:p w14:paraId="73A6B994" w14:textId="6B2C481C" w:rsidR="00117AC0" w:rsidRPr="00977EFC" w:rsidRDefault="00713093" w:rsidP="00977EFC">
      <w:pPr>
        <w:pStyle w:val="ListParagraph"/>
        <w:numPr>
          <w:ilvl w:val="0"/>
          <w:numId w:val="10"/>
        </w:numPr>
        <w:spacing w:before="120" w:after="120" w:line="276" w:lineRule="auto"/>
        <w:ind w:left="360"/>
        <w:jc w:val="both"/>
        <w:rPr>
          <w:rFonts w:ascii="Times New Roman" w:hAnsi="Times New Roman" w:cs="Times New Roman"/>
          <w:b/>
          <w:bCs/>
        </w:rPr>
      </w:pPr>
      <w:r w:rsidRPr="00977EFC">
        <w:rPr>
          <w:rFonts w:ascii="Times New Roman" w:hAnsi="Times New Roman" w:cs="Times New Roman"/>
          <w:b/>
          <w:bCs/>
        </w:rPr>
        <w:t xml:space="preserve">Qualifications </w:t>
      </w:r>
      <w:r w:rsidR="009D4432" w:rsidRPr="00977EFC">
        <w:rPr>
          <w:rFonts w:ascii="Times New Roman" w:hAnsi="Times New Roman" w:cs="Times New Roman"/>
          <w:b/>
          <w:bCs/>
        </w:rPr>
        <w:t>and Experience Requirements</w:t>
      </w:r>
      <w:r w:rsidR="00BC7AB4" w:rsidRPr="00977EFC">
        <w:rPr>
          <w:rFonts w:ascii="Times New Roman" w:hAnsi="Times New Roman" w:cs="Times New Roman"/>
          <w:b/>
          <w:bCs/>
        </w:rPr>
        <w:t xml:space="preserve">: </w:t>
      </w:r>
    </w:p>
    <w:p w14:paraId="4EB3E067" w14:textId="2352825C" w:rsidR="009D4432" w:rsidRPr="00934C8A" w:rsidRDefault="009D4432" w:rsidP="009C513A">
      <w:pPr>
        <w:spacing w:after="120" w:line="276" w:lineRule="auto"/>
        <w:jc w:val="both"/>
        <w:rPr>
          <w:rFonts w:ascii="Times New Roman" w:hAnsi="Times New Roman" w:cs="Times New Roman"/>
          <w:bCs/>
        </w:rPr>
      </w:pPr>
      <w:r w:rsidRPr="00934C8A">
        <w:rPr>
          <w:rFonts w:ascii="Times New Roman" w:hAnsi="Times New Roman" w:cs="Times New Roman"/>
          <w:bCs/>
        </w:rPr>
        <w:t xml:space="preserve">The Consultant should have the following desired qualifications and experience: </w:t>
      </w:r>
    </w:p>
    <w:p w14:paraId="7DA527B6" w14:textId="15C288BE" w:rsidR="00DA62D1" w:rsidRDefault="00DA62D1" w:rsidP="008C707C">
      <w:pPr>
        <w:numPr>
          <w:ilvl w:val="0"/>
          <w:numId w:val="28"/>
        </w:numPr>
        <w:spacing w:after="40"/>
        <w:ind w:left="720"/>
        <w:jc w:val="both"/>
        <w:rPr>
          <w:rFonts w:ascii="Times New Roman" w:hAnsi="Times New Roman" w:cs="Times New Roman"/>
          <w:color w:val="000000" w:themeColor="text1"/>
        </w:rPr>
      </w:pPr>
      <w:r w:rsidRPr="00DA62D1">
        <w:rPr>
          <w:rFonts w:ascii="Times New Roman" w:hAnsi="Times New Roman" w:cs="Times New Roman"/>
          <w:color w:val="000000" w:themeColor="text1"/>
        </w:rPr>
        <w:t xml:space="preserve">At least a </w:t>
      </w:r>
      <w:r w:rsidRPr="00977EFC">
        <w:rPr>
          <w:rFonts w:ascii="Times New Roman" w:hAnsi="Times New Roman" w:cs="Times New Roman"/>
          <w:color w:val="000000" w:themeColor="text1"/>
        </w:rPr>
        <w:t>Bachelor’s degree in Law with Commercial, Energy, infrastructure fields, or related field with at least 10 years of technical and managerial experience at a large organization in the private or public sector</w:t>
      </w:r>
      <w:r w:rsidRPr="00DA62D1">
        <w:rPr>
          <w:rFonts w:ascii="Times New Roman" w:hAnsi="Times New Roman" w:cs="Times New Roman"/>
          <w:color w:val="000000" w:themeColor="text1"/>
        </w:rPr>
        <w:t xml:space="preserve">. </w:t>
      </w:r>
      <w:r w:rsidRPr="00977EFC">
        <w:rPr>
          <w:rFonts w:ascii="Times New Roman" w:hAnsi="Times New Roman" w:cs="Times New Roman"/>
          <w:color w:val="000000" w:themeColor="text1"/>
        </w:rPr>
        <w:t xml:space="preserve">A </w:t>
      </w:r>
      <w:r w:rsidR="0060581C" w:rsidRPr="00977EFC">
        <w:rPr>
          <w:rFonts w:ascii="Times New Roman" w:hAnsi="Times New Roman" w:cs="Times New Roman"/>
          <w:color w:val="000000" w:themeColor="text1"/>
        </w:rPr>
        <w:t>master’s</w:t>
      </w:r>
      <w:r w:rsidRPr="00977EFC">
        <w:rPr>
          <w:rFonts w:ascii="Times New Roman" w:hAnsi="Times New Roman" w:cs="Times New Roman"/>
          <w:color w:val="000000" w:themeColor="text1"/>
        </w:rPr>
        <w:t xml:space="preserve"> degree in a relevant field of Law will be an added advantage.</w:t>
      </w:r>
    </w:p>
    <w:p w14:paraId="797F1872" w14:textId="1A0F3D68" w:rsidR="00A5570B" w:rsidRPr="00977EFC" w:rsidRDefault="00A5570B" w:rsidP="00977EFC">
      <w:pPr>
        <w:numPr>
          <w:ilvl w:val="0"/>
          <w:numId w:val="28"/>
        </w:numPr>
        <w:spacing w:after="40"/>
        <w:ind w:left="720"/>
        <w:jc w:val="both"/>
        <w:rPr>
          <w:rFonts w:ascii="Times New Roman" w:hAnsi="Times New Roman" w:cs="Times New Roman"/>
          <w:color w:val="000000" w:themeColor="text1"/>
        </w:rPr>
      </w:pPr>
      <w:r w:rsidRPr="00DE50BD">
        <w:rPr>
          <w:rFonts w:ascii="Times New Roman" w:hAnsi="Times New Roman" w:cs="Times New Roman"/>
          <w:color w:val="000000" w:themeColor="text1"/>
        </w:rPr>
        <w:t>Possession of a legal practicing certificate or a similar qualification recognized in the Somali region.</w:t>
      </w:r>
      <w:r w:rsidRPr="00AA2EBB">
        <w:rPr>
          <w:rFonts w:ascii="Times New Roman" w:hAnsi="Times New Roman" w:cs="Times New Roman"/>
          <w:color w:val="000000" w:themeColor="text1"/>
        </w:rPr>
        <w:t xml:space="preserve"> </w:t>
      </w:r>
      <w:r w:rsidRPr="00DE50BD">
        <w:rPr>
          <w:rFonts w:ascii="Times New Roman" w:hAnsi="Times New Roman" w:cs="Times New Roman"/>
          <w:color w:val="000000" w:themeColor="text1"/>
        </w:rPr>
        <w:t xml:space="preserve">Any other post-graduate training in project management, economics, renewable </w:t>
      </w:r>
      <w:r w:rsidRPr="00AA2EBB">
        <w:rPr>
          <w:rFonts w:ascii="Times New Roman" w:hAnsi="Times New Roman" w:cs="Times New Roman"/>
          <w:color w:val="000000" w:themeColor="text1"/>
        </w:rPr>
        <w:t>energy, infrastructure</w:t>
      </w:r>
      <w:r w:rsidRPr="00DE50BD">
        <w:rPr>
          <w:rFonts w:ascii="Times New Roman" w:hAnsi="Times New Roman" w:cs="Times New Roman"/>
          <w:color w:val="000000" w:themeColor="text1"/>
        </w:rPr>
        <w:t xml:space="preserve">, regulation, and finance </w:t>
      </w:r>
      <w:r w:rsidRPr="00AA2EBB">
        <w:rPr>
          <w:rFonts w:ascii="Times New Roman" w:hAnsi="Times New Roman" w:cs="Times New Roman"/>
          <w:color w:val="000000" w:themeColor="text1"/>
        </w:rPr>
        <w:t>shall</w:t>
      </w:r>
      <w:r w:rsidRPr="00DE50BD">
        <w:rPr>
          <w:rFonts w:ascii="Times New Roman" w:hAnsi="Times New Roman" w:cs="Times New Roman"/>
          <w:color w:val="000000" w:themeColor="text1"/>
        </w:rPr>
        <w:t xml:space="preserve"> be an added advantage</w:t>
      </w:r>
      <w:r>
        <w:rPr>
          <w:rFonts w:ascii="Times New Roman" w:hAnsi="Times New Roman" w:cs="Times New Roman"/>
          <w:color w:val="000000" w:themeColor="text1"/>
        </w:rPr>
        <w:t>.</w:t>
      </w:r>
    </w:p>
    <w:p w14:paraId="43F16E8C" w14:textId="078D0990" w:rsidR="00DA62D1" w:rsidRPr="00977EFC" w:rsidRDefault="00AA2EBB" w:rsidP="00977EFC">
      <w:pPr>
        <w:numPr>
          <w:ilvl w:val="0"/>
          <w:numId w:val="28"/>
        </w:numPr>
        <w:spacing w:after="40"/>
        <w:ind w:left="720"/>
        <w:jc w:val="both"/>
        <w:rPr>
          <w:rFonts w:ascii="Times New Roman" w:hAnsi="Times New Roman" w:cs="Times New Roman"/>
          <w:color w:val="000000" w:themeColor="text1"/>
        </w:rPr>
      </w:pPr>
      <w:r>
        <w:rPr>
          <w:rFonts w:ascii="Times New Roman" w:hAnsi="Times New Roman" w:cs="Times New Roman"/>
          <w:color w:val="000000" w:themeColor="text1"/>
        </w:rPr>
        <w:t>Demonstrated e</w:t>
      </w:r>
      <w:r w:rsidR="00DA62D1" w:rsidRPr="00977EFC">
        <w:rPr>
          <w:rFonts w:ascii="Times New Roman" w:hAnsi="Times New Roman" w:cs="Times New Roman"/>
          <w:color w:val="000000" w:themeColor="text1"/>
        </w:rPr>
        <w:t>xperience in a large Utility or Regulatory institution in Sub-Saharan Africa or another similar Emerging Economy.</w:t>
      </w:r>
    </w:p>
    <w:p w14:paraId="6B87BE7A" w14:textId="116B1D0F" w:rsidR="00DA62D1" w:rsidRPr="00977EFC" w:rsidRDefault="00A5570B" w:rsidP="00977EFC">
      <w:pPr>
        <w:numPr>
          <w:ilvl w:val="0"/>
          <w:numId w:val="28"/>
        </w:numPr>
        <w:spacing w:after="40"/>
        <w:ind w:left="72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Demonstrated e</w:t>
      </w:r>
      <w:r w:rsidR="00DA62D1" w:rsidRPr="00977EFC">
        <w:rPr>
          <w:rFonts w:ascii="Times New Roman" w:hAnsi="Times New Roman" w:cs="Times New Roman"/>
          <w:color w:val="000000" w:themeColor="text1"/>
        </w:rPr>
        <w:t>xperience in institutional legal representation, project negotiations, policy, and legal drafting</w:t>
      </w:r>
      <w:r>
        <w:rPr>
          <w:rFonts w:ascii="Times New Roman" w:hAnsi="Times New Roman" w:cs="Times New Roman"/>
          <w:color w:val="000000" w:themeColor="text1"/>
        </w:rPr>
        <w:t>.</w:t>
      </w:r>
    </w:p>
    <w:p w14:paraId="0150191F" w14:textId="18D92700" w:rsidR="00DA62D1" w:rsidRPr="00977EFC" w:rsidRDefault="00E0453A" w:rsidP="00977EFC">
      <w:pPr>
        <w:numPr>
          <w:ilvl w:val="0"/>
          <w:numId w:val="28"/>
        </w:numPr>
        <w:spacing w:after="40"/>
        <w:ind w:left="720"/>
        <w:jc w:val="both"/>
        <w:rPr>
          <w:rFonts w:ascii="Times New Roman" w:hAnsi="Times New Roman" w:cs="Times New Roman"/>
          <w:color w:val="000000" w:themeColor="text1"/>
        </w:rPr>
      </w:pPr>
      <w:r>
        <w:rPr>
          <w:rFonts w:ascii="Times New Roman" w:hAnsi="Times New Roman" w:cs="Times New Roman"/>
          <w:color w:val="000000" w:themeColor="text1"/>
        </w:rPr>
        <w:t>Fluency in both written and Oral</w:t>
      </w:r>
      <w:r w:rsidR="001E5D92">
        <w:rPr>
          <w:rFonts w:ascii="Times New Roman" w:hAnsi="Times New Roman" w:cs="Times New Roman"/>
          <w:color w:val="000000" w:themeColor="text1"/>
        </w:rPr>
        <w:t xml:space="preserve"> English</w:t>
      </w:r>
      <w:r w:rsidR="00DA62D1" w:rsidRPr="00977EFC">
        <w:rPr>
          <w:rFonts w:ascii="Times New Roman" w:hAnsi="Times New Roman" w:cs="Times New Roman"/>
          <w:color w:val="000000" w:themeColor="text1"/>
        </w:rPr>
        <w:t>.</w:t>
      </w:r>
    </w:p>
    <w:p w14:paraId="206D8DAD" w14:textId="77777777" w:rsidR="009C513A" w:rsidRPr="00934C8A" w:rsidRDefault="009C513A" w:rsidP="009C513A">
      <w:pPr>
        <w:pStyle w:val="ListParagraph"/>
        <w:spacing w:before="120" w:after="120" w:line="276" w:lineRule="auto"/>
        <w:ind w:left="360"/>
        <w:jc w:val="both"/>
        <w:rPr>
          <w:rFonts w:ascii="Times New Roman" w:hAnsi="Times New Roman" w:cs="Times New Roman"/>
        </w:rPr>
      </w:pPr>
    </w:p>
    <w:p w14:paraId="4CA9F43B" w14:textId="20CFF49A" w:rsidR="00711752" w:rsidRPr="00977EFC" w:rsidRDefault="00713093" w:rsidP="00977EFC">
      <w:pPr>
        <w:pStyle w:val="ListParagraph"/>
        <w:numPr>
          <w:ilvl w:val="0"/>
          <w:numId w:val="31"/>
        </w:numPr>
        <w:spacing w:before="120" w:after="120"/>
        <w:ind w:left="360"/>
        <w:jc w:val="both"/>
        <w:rPr>
          <w:rFonts w:ascii="Times New Roman" w:hAnsi="Times New Roman" w:cs="Times New Roman"/>
          <w:b/>
          <w:bCs/>
        </w:rPr>
      </w:pPr>
      <w:r w:rsidRPr="00977EFC">
        <w:rPr>
          <w:rFonts w:ascii="Times New Roman" w:hAnsi="Times New Roman" w:cs="Times New Roman"/>
          <w:b/>
          <w:bCs/>
        </w:rPr>
        <w:t>Deliverables</w:t>
      </w:r>
      <w:r w:rsidR="00BC7AB4" w:rsidRPr="00977EFC">
        <w:rPr>
          <w:rFonts w:ascii="Times New Roman" w:hAnsi="Times New Roman" w:cs="Times New Roman"/>
          <w:b/>
          <w:bCs/>
        </w:rPr>
        <w:t xml:space="preserve">: </w:t>
      </w:r>
    </w:p>
    <w:p w14:paraId="61F89C5A" w14:textId="77777777" w:rsidR="00A80134" w:rsidRPr="00977EFC" w:rsidRDefault="00A80134" w:rsidP="00977EFC">
      <w:pPr>
        <w:pStyle w:val="ListParagraph"/>
        <w:numPr>
          <w:ilvl w:val="0"/>
          <w:numId w:val="32"/>
        </w:numPr>
        <w:spacing w:before="120" w:after="120"/>
        <w:ind w:left="720"/>
        <w:jc w:val="both"/>
        <w:rPr>
          <w:rFonts w:ascii="Times New Roman" w:hAnsi="Times New Roman" w:cs="Times New Roman"/>
        </w:rPr>
      </w:pPr>
      <w:r w:rsidRPr="00977EFC">
        <w:rPr>
          <w:rFonts w:ascii="Times New Roman" w:hAnsi="Times New Roman" w:cs="Times New Roman"/>
        </w:rPr>
        <w:t>An appropriate legal regulatory framework is in place.</w:t>
      </w:r>
    </w:p>
    <w:p w14:paraId="199323BB" w14:textId="77777777" w:rsidR="00A80134" w:rsidRPr="00977EFC" w:rsidRDefault="00A80134" w:rsidP="00977EFC">
      <w:pPr>
        <w:pStyle w:val="ListParagraph"/>
        <w:numPr>
          <w:ilvl w:val="0"/>
          <w:numId w:val="32"/>
        </w:numPr>
        <w:spacing w:before="120" w:after="120"/>
        <w:ind w:left="720"/>
        <w:jc w:val="both"/>
        <w:rPr>
          <w:rFonts w:ascii="Times New Roman" w:hAnsi="Times New Roman" w:cs="Times New Roman"/>
        </w:rPr>
      </w:pPr>
      <w:r w:rsidRPr="00977EFC">
        <w:rPr>
          <w:rFonts w:ascii="Times New Roman" w:hAnsi="Times New Roman" w:cs="Times New Roman"/>
        </w:rPr>
        <w:t>An effective process for legal drafting and reviews of all regulations and guidelines</w:t>
      </w:r>
    </w:p>
    <w:p w14:paraId="3CCE7A27" w14:textId="2B9F5E19" w:rsidR="00A80134" w:rsidRPr="00977EFC" w:rsidRDefault="00A80134" w:rsidP="00977EFC">
      <w:pPr>
        <w:pStyle w:val="ListParagraph"/>
        <w:numPr>
          <w:ilvl w:val="0"/>
          <w:numId w:val="32"/>
        </w:numPr>
        <w:spacing w:before="120" w:after="120"/>
        <w:ind w:left="720"/>
        <w:jc w:val="both"/>
        <w:rPr>
          <w:rFonts w:ascii="Times New Roman" w:hAnsi="Times New Roman" w:cs="Times New Roman"/>
        </w:rPr>
      </w:pPr>
      <w:r w:rsidRPr="00977EFC">
        <w:rPr>
          <w:rFonts w:ascii="Times New Roman" w:hAnsi="Times New Roman" w:cs="Times New Roman"/>
        </w:rPr>
        <w:t xml:space="preserve">Effective representation of </w:t>
      </w:r>
      <w:r w:rsidR="008D6295">
        <w:rPr>
          <w:rFonts w:ascii="Times New Roman" w:hAnsi="Times New Roman" w:cs="Times New Roman"/>
        </w:rPr>
        <w:t>NEA</w:t>
      </w:r>
      <w:r w:rsidRPr="00977EFC">
        <w:rPr>
          <w:rFonts w:ascii="Times New Roman" w:hAnsi="Times New Roman" w:cs="Times New Roman"/>
        </w:rPr>
        <w:t xml:space="preserve"> in legal issues internally and externally</w:t>
      </w:r>
    </w:p>
    <w:p w14:paraId="5830ED01" w14:textId="77777777" w:rsidR="00A80134" w:rsidRPr="00977EFC" w:rsidRDefault="00A80134" w:rsidP="00977EFC">
      <w:pPr>
        <w:pStyle w:val="ListParagraph"/>
        <w:numPr>
          <w:ilvl w:val="0"/>
          <w:numId w:val="32"/>
        </w:numPr>
        <w:spacing w:before="120" w:after="120"/>
        <w:ind w:left="720"/>
        <w:jc w:val="both"/>
        <w:rPr>
          <w:rFonts w:ascii="Times New Roman" w:hAnsi="Times New Roman" w:cs="Times New Roman"/>
        </w:rPr>
      </w:pPr>
      <w:r w:rsidRPr="00977EFC">
        <w:rPr>
          <w:rFonts w:ascii="Times New Roman" w:hAnsi="Times New Roman" w:cs="Times New Roman"/>
        </w:rPr>
        <w:t>Effective legal compliance framework and an Inventory of Licensee Legal Compliance</w:t>
      </w:r>
    </w:p>
    <w:p w14:paraId="68011A19" w14:textId="0A931404" w:rsidR="00A80134" w:rsidRPr="00977EFC" w:rsidRDefault="00A80134" w:rsidP="00977EFC">
      <w:pPr>
        <w:pStyle w:val="ListParagraph"/>
        <w:numPr>
          <w:ilvl w:val="0"/>
          <w:numId w:val="32"/>
        </w:numPr>
        <w:spacing w:before="120" w:after="120"/>
        <w:ind w:left="720"/>
        <w:jc w:val="both"/>
        <w:rPr>
          <w:rFonts w:ascii="Times New Roman" w:hAnsi="Times New Roman" w:cs="Times New Roman"/>
        </w:rPr>
      </w:pPr>
      <w:r w:rsidRPr="00977EFC">
        <w:rPr>
          <w:rFonts w:ascii="Times New Roman" w:hAnsi="Times New Roman" w:cs="Times New Roman"/>
        </w:rPr>
        <w:t xml:space="preserve">Maintains a comprehensive regulatory calendar covering key </w:t>
      </w:r>
      <w:r w:rsidR="008D6295">
        <w:rPr>
          <w:rFonts w:ascii="Times New Roman" w:hAnsi="Times New Roman" w:cs="Times New Roman"/>
        </w:rPr>
        <w:t>NEA</w:t>
      </w:r>
      <w:r w:rsidRPr="00977EFC">
        <w:rPr>
          <w:rFonts w:ascii="Times New Roman" w:hAnsi="Times New Roman" w:cs="Times New Roman"/>
        </w:rPr>
        <w:t xml:space="preserve"> events and processes with stakeholders.</w:t>
      </w:r>
    </w:p>
    <w:p w14:paraId="0D533004" w14:textId="237D6674" w:rsidR="00A80134" w:rsidRPr="00977EFC" w:rsidRDefault="00A80134" w:rsidP="00977EFC">
      <w:pPr>
        <w:pStyle w:val="ListParagraph"/>
        <w:numPr>
          <w:ilvl w:val="0"/>
          <w:numId w:val="32"/>
        </w:numPr>
        <w:spacing w:before="120" w:after="120"/>
        <w:ind w:left="720"/>
        <w:jc w:val="both"/>
        <w:rPr>
          <w:rFonts w:ascii="Times New Roman" w:hAnsi="Times New Roman" w:cs="Times New Roman"/>
        </w:rPr>
      </w:pPr>
      <w:r w:rsidRPr="00977EFC">
        <w:rPr>
          <w:rFonts w:ascii="Times New Roman" w:hAnsi="Times New Roman" w:cs="Times New Roman"/>
        </w:rPr>
        <w:t xml:space="preserve">A modern and effective registry that ensures the completeness and authenticity of </w:t>
      </w:r>
      <w:r w:rsidR="008D6295">
        <w:rPr>
          <w:rFonts w:ascii="Times New Roman" w:hAnsi="Times New Roman" w:cs="Times New Roman"/>
        </w:rPr>
        <w:t>NEA</w:t>
      </w:r>
      <w:r w:rsidRPr="00977EFC">
        <w:rPr>
          <w:rFonts w:ascii="Times New Roman" w:hAnsi="Times New Roman" w:cs="Times New Roman"/>
        </w:rPr>
        <w:t xml:space="preserve"> records.</w:t>
      </w:r>
    </w:p>
    <w:p w14:paraId="4B65B164" w14:textId="0D9ACB0A" w:rsidR="00A80134" w:rsidRPr="00977EFC" w:rsidRDefault="00A80134" w:rsidP="00977EFC">
      <w:pPr>
        <w:pStyle w:val="ListParagraph"/>
        <w:numPr>
          <w:ilvl w:val="0"/>
          <w:numId w:val="32"/>
        </w:numPr>
        <w:spacing w:before="120" w:after="120"/>
        <w:ind w:left="720"/>
        <w:jc w:val="both"/>
        <w:rPr>
          <w:rFonts w:ascii="Times New Roman" w:hAnsi="Times New Roman" w:cs="Times New Roman"/>
        </w:rPr>
      </w:pPr>
      <w:r w:rsidRPr="00977EFC">
        <w:rPr>
          <w:rFonts w:ascii="Times New Roman" w:hAnsi="Times New Roman" w:cs="Times New Roman"/>
        </w:rPr>
        <w:t xml:space="preserve">Effective record and monitoring of all the </w:t>
      </w:r>
      <w:r w:rsidR="008D6295">
        <w:rPr>
          <w:rFonts w:ascii="Times New Roman" w:hAnsi="Times New Roman" w:cs="Times New Roman"/>
        </w:rPr>
        <w:t>Authority’s</w:t>
      </w:r>
      <w:r w:rsidRPr="00977EFC">
        <w:rPr>
          <w:rFonts w:ascii="Times New Roman" w:hAnsi="Times New Roman" w:cs="Times New Roman"/>
        </w:rPr>
        <w:t xml:space="preserve"> decisions and resolutions to ensure timely implementation.</w:t>
      </w:r>
    </w:p>
    <w:p w14:paraId="0B683969" w14:textId="77777777" w:rsidR="0018315F" w:rsidRDefault="0018315F" w:rsidP="0018315F">
      <w:pPr>
        <w:pStyle w:val="ListParagraph"/>
        <w:spacing w:before="120" w:after="120" w:line="276" w:lineRule="auto"/>
        <w:ind w:left="360"/>
        <w:jc w:val="both"/>
        <w:rPr>
          <w:rFonts w:ascii="Times New Roman" w:hAnsi="Times New Roman" w:cs="Times New Roman"/>
        </w:rPr>
      </w:pPr>
    </w:p>
    <w:p w14:paraId="1241DF9D" w14:textId="1CF069D0" w:rsidR="0018315F" w:rsidRPr="00977EFC" w:rsidRDefault="0018315F" w:rsidP="00977EFC">
      <w:pPr>
        <w:pStyle w:val="ListParagraph"/>
        <w:numPr>
          <w:ilvl w:val="0"/>
          <w:numId w:val="35"/>
        </w:numPr>
        <w:spacing w:before="360" w:after="120"/>
        <w:ind w:left="360"/>
        <w:jc w:val="both"/>
        <w:rPr>
          <w:rFonts w:ascii="Times New Roman" w:hAnsi="Times New Roman" w:cs="Times New Roman"/>
          <w:b/>
          <w:bCs/>
        </w:rPr>
      </w:pPr>
      <w:r w:rsidRPr="00977EFC">
        <w:rPr>
          <w:rFonts w:ascii="Times New Roman" w:hAnsi="Times New Roman" w:cs="Times New Roman"/>
          <w:b/>
          <w:bCs/>
        </w:rPr>
        <w:t xml:space="preserve">Assignment Location: </w:t>
      </w:r>
    </w:p>
    <w:p w14:paraId="03ED4D23" w14:textId="01C822AD" w:rsidR="00B5004A" w:rsidRPr="00A03BB1" w:rsidRDefault="0018315F" w:rsidP="00A03BB1">
      <w:pPr>
        <w:spacing w:before="120" w:after="120" w:line="276" w:lineRule="auto"/>
        <w:jc w:val="both"/>
        <w:rPr>
          <w:rFonts w:ascii="Times New Roman" w:hAnsi="Times New Roman" w:cs="Times New Roman"/>
        </w:rPr>
      </w:pPr>
      <w:r w:rsidRPr="0018315F">
        <w:rPr>
          <w:rFonts w:ascii="Times New Roman" w:hAnsi="Times New Roman" w:cs="Times New Roman"/>
        </w:rPr>
        <w:t xml:space="preserve">The </w:t>
      </w:r>
      <w:r>
        <w:rPr>
          <w:rFonts w:ascii="Times New Roman" w:hAnsi="Times New Roman" w:cs="Times New Roman"/>
        </w:rPr>
        <w:t>Legal</w:t>
      </w:r>
      <w:r w:rsidRPr="0018315F">
        <w:rPr>
          <w:rFonts w:ascii="Times New Roman" w:hAnsi="Times New Roman" w:cs="Times New Roman"/>
        </w:rPr>
        <w:t xml:space="preserve"> Advisor will be based </w:t>
      </w:r>
      <w:r>
        <w:rPr>
          <w:rFonts w:ascii="Times New Roman" w:hAnsi="Times New Roman" w:cs="Times New Roman"/>
        </w:rPr>
        <w:t>at</w:t>
      </w:r>
      <w:r w:rsidRPr="0018315F">
        <w:rPr>
          <w:rFonts w:ascii="Times New Roman" w:hAnsi="Times New Roman" w:cs="Times New Roman"/>
        </w:rPr>
        <w:t xml:space="preserve"> the National Electricity Authority Headquarters in Mogadishu and may frequently travel out-field for compliance and consultative visits.</w:t>
      </w:r>
    </w:p>
    <w:p w14:paraId="4D9DA472" w14:textId="21946BEB" w:rsidR="00CB4F43" w:rsidRPr="00977EFC" w:rsidRDefault="00CB4F43" w:rsidP="00977EFC">
      <w:pPr>
        <w:pStyle w:val="ListParagraph"/>
        <w:numPr>
          <w:ilvl w:val="0"/>
          <w:numId w:val="35"/>
        </w:numPr>
        <w:spacing w:before="120" w:after="120"/>
        <w:ind w:left="360"/>
        <w:jc w:val="both"/>
        <w:rPr>
          <w:rFonts w:ascii="Times New Roman" w:hAnsi="Times New Roman" w:cs="Times New Roman"/>
          <w:b/>
          <w:bCs/>
        </w:rPr>
      </w:pPr>
      <w:r w:rsidRPr="00977EFC">
        <w:rPr>
          <w:rFonts w:ascii="Times New Roman" w:hAnsi="Times New Roman" w:cs="Times New Roman"/>
          <w:b/>
          <w:bCs/>
        </w:rPr>
        <w:t>Time frame and Reporting</w:t>
      </w:r>
      <w:r w:rsidR="00BC7AB4" w:rsidRPr="00977EFC">
        <w:rPr>
          <w:rFonts w:ascii="Times New Roman" w:hAnsi="Times New Roman" w:cs="Times New Roman"/>
          <w:b/>
          <w:bCs/>
        </w:rPr>
        <w:t xml:space="preserve">: </w:t>
      </w:r>
    </w:p>
    <w:p w14:paraId="5BAD94B3" w14:textId="0EC3608D" w:rsidR="00CB4F43" w:rsidRPr="00934C8A" w:rsidRDefault="00CB4F43" w:rsidP="00265DCA">
      <w:pPr>
        <w:spacing w:before="120" w:after="120" w:line="276" w:lineRule="auto"/>
        <w:jc w:val="both"/>
        <w:rPr>
          <w:rFonts w:ascii="Times New Roman" w:hAnsi="Times New Roman" w:cs="Times New Roman"/>
        </w:rPr>
      </w:pPr>
      <w:r w:rsidRPr="00934C8A">
        <w:rPr>
          <w:rFonts w:ascii="Times New Roman" w:hAnsi="Times New Roman" w:cs="Times New Roman"/>
        </w:rPr>
        <w:t>The expected duration of the consultancy is one</w:t>
      </w:r>
      <w:r w:rsidR="00B4654A">
        <w:rPr>
          <w:rFonts w:ascii="Times New Roman" w:hAnsi="Times New Roman" w:cs="Times New Roman"/>
        </w:rPr>
        <w:t xml:space="preserve"> (1)</w:t>
      </w:r>
      <w:r w:rsidRPr="00934C8A">
        <w:rPr>
          <w:rFonts w:ascii="Times New Roman" w:hAnsi="Times New Roman" w:cs="Times New Roman"/>
        </w:rPr>
        <w:t xml:space="preserve"> year, with </w:t>
      </w:r>
      <w:r w:rsidR="00E53877" w:rsidRPr="00934C8A">
        <w:rPr>
          <w:rFonts w:ascii="Times New Roman" w:hAnsi="Times New Roman" w:cs="Times New Roman"/>
        </w:rPr>
        <w:t>the possibility</w:t>
      </w:r>
      <w:r w:rsidRPr="00934C8A">
        <w:rPr>
          <w:rFonts w:ascii="Times New Roman" w:hAnsi="Times New Roman" w:cs="Times New Roman"/>
        </w:rPr>
        <w:t xml:space="preserve"> of contract extension subject to satisfactory performance</w:t>
      </w:r>
      <w:r w:rsidR="00E53877">
        <w:rPr>
          <w:rFonts w:ascii="Times New Roman" w:hAnsi="Times New Roman" w:cs="Times New Roman"/>
        </w:rPr>
        <w:t xml:space="preserve"> and availability of budget</w:t>
      </w:r>
      <w:r w:rsidRPr="00934C8A">
        <w:rPr>
          <w:rFonts w:ascii="Times New Roman" w:hAnsi="Times New Roman" w:cs="Times New Roman"/>
        </w:rPr>
        <w:t xml:space="preserve">. The assignment is expected to commence </w:t>
      </w:r>
      <w:r w:rsidR="00031FCD" w:rsidRPr="00934C8A">
        <w:rPr>
          <w:rFonts w:ascii="Times New Roman" w:hAnsi="Times New Roman" w:cs="Times New Roman"/>
        </w:rPr>
        <w:t>in</w:t>
      </w:r>
      <w:r w:rsidRPr="00934C8A">
        <w:rPr>
          <w:rFonts w:ascii="Times New Roman" w:hAnsi="Times New Roman" w:cs="Times New Roman"/>
        </w:rPr>
        <w:t xml:space="preserve"> </w:t>
      </w:r>
      <w:r w:rsidR="0067374D">
        <w:rPr>
          <w:rFonts w:ascii="Times New Roman" w:hAnsi="Times New Roman" w:cs="Times New Roman"/>
        </w:rPr>
        <w:t xml:space="preserve">November </w:t>
      </w:r>
      <w:r w:rsidRPr="00934C8A">
        <w:rPr>
          <w:rFonts w:ascii="Times New Roman" w:hAnsi="Times New Roman" w:cs="Times New Roman"/>
        </w:rPr>
        <w:t>2</w:t>
      </w:r>
      <w:r w:rsidR="00B67A0A" w:rsidRPr="00934C8A">
        <w:rPr>
          <w:rFonts w:ascii="Times New Roman" w:hAnsi="Times New Roman" w:cs="Times New Roman"/>
        </w:rPr>
        <w:t>02</w:t>
      </w:r>
      <w:r w:rsidR="009C513A" w:rsidRPr="00934C8A">
        <w:rPr>
          <w:rFonts w:ascii="Times New Roman" w:hAnsi="Times New Roman" w:cs="Times New Roman"/>
        </w:rPr>
        <w:t>4</w:t>
      </w:r>
      <w:r w:rsidRPr="00934C8A">
        <w:rPr>
          <w:rFonts w:ascii="Times New Roman" w:hAnsi="Times New Roman" w:cs="Times New Roman"/>
        </w:rPr>
        <w:t xml:space="preserve">. </w:t>
      </w:r>
    </w:p>
    <w:p w14:paraId="575E8990" w14:textId="16B59A87" w:rsidR="00B5004A" w:rsidRPr="00934C8A" w:rsidRDefault="009C513A" w:rsidP="00BC7AB4">
      <w:pPr>
        <w:spacing w:before="120" w:after="240" w:line="276" w:lineRule="auto"/>
        <w:jc w:val="both"/>
        <w:rPr>
          <w:rFonts w:ascii="Times New Roman" w:hAnsi="Times New Roman" w:cs="Times New Roman"/>
          <w:bCs/>
        </w:rPr>
      </w:pPr>
      <w:r w:rsidRPr="00934C8A">
        <w:rPr>
          <w:rFonts w:ascii="Times New Roman" w:hAnsi="Times New Roman" w:cs="Times New Roman"/>
          <w:bCs/>
        </w:rPr>
        <w:t>The consultant will report to the Director General of the National Electricity Authority (NEA) and work closely with the Ministry of Energy and Water Resources</w:t>
      </w:r>
      <w:r w:rsidR="0001336F">
        <w:rPr>
          <w:rFonts w:ascii="Times New Roman" w:hAnsi="Times New Roman" w:cs="Times New Roman"/>
          <w:bCs/>
        </w:rPr>
        <w:t xml:space="preserve"> and other stakeholders</w:t>
      </w:r>
      <w:r w:rsidRPr="00934C8A">
        <w:rPr>
          <w:rFonts w:ascii="Times New Roman" w:hAnsi="Times New Roman" w:cs="Times New Roman"/>
          <w:bCs/>
        </w:rPr>
        <w:t xml:space="preserve">.  </w:t>
      </w:r>
    </w:p>
    <w:p w14:paraId="3C64608E" w14:textId="6278A638" w:rsidR="00DB1024" w:rsidRPr="00977EFC" w:rsidRDefault="00DB1024" w:rsidP="00977EFC">
      <w:pPr>
        <w:pStyle w:val="ListParagraph"/>
        <w:numPr>
          <w:ilvl w:val="0"/>
          <w:numId w:val="35"/>
        </w:numPr>
        <w:spacing w:before="120" w:after="120" w:line="276" w:lineRule="auto"/>
        <w:ind w:left="360"/>
        <w:jc w:val="both"/>
        <w:rPr>
          <w:rFonts w:ascii="Times New Roman" w:hAnsi="Times New Roman" w:cs="Times New Roman"/>
          <w:b/>
          <w:bCs/>
        </w:rPr>
      </w:pPr>
      <w:r w:rsidRPr="00977EFC">
        <w:rPr>
          <w:rFonts w:ascii="Times New Roman" w:hAnsi="Times New Roman" w:cs="Times New Roman"/>
          <w:b/>
          <w:bCs/>
        </w:rPr>
        <w:t>Inputs/facility provided by the Client</w:t>
      </w:r>
      <w:r w:rsidR="00BC7AB4" w:rsidRPr="00977EFC">
        <w:rPr>
          <w:rFonts w:ascii="Times New Roman" w:hAnsi="Times New Roman" w:cs="Times New Roman"/>
          <w:b/>
          <w:bCs/>
        </w:rPr>
        <w:t xml:space="preserve">: </w:t>
      </w:r>
    </w:p>
    <w:p w14:paraId="7D9ADD98" w14:textId="58C5DEE6" w:rsidR="00DB1024" w:rsidRPr="00934C8A" w:rsidRDefault="00DB1024" w:rsidP="00265DCA">
      <w:pPr>
        <w:spacing w:before="120" w:after="120" w:line="276" w:lineRule="auto"/>
        <w:jc w:val="both"/>
        <w:rPr>
          <w:rFonts w:ascii="Times New Roman" w:hAnsi="Times New Roman" w:cs="Times New Roman"/>
          <w:bCs/>
        </w:rPr>
      </w:pPr>
      <w:r w:rsidRPr="00934C8A">
        <w:rPr>
          <w:rFonts w:ascii="Times New Roman" w:hAnsi="Times New Roman" w:cs="Times New Roman"/>
          <w:bCs/>
        </w:rPr>
        <w:t xml:space="preserve">The client will provide office space with necessary furniture and other facilities such as </w:t>
      </w:r>
      <w:r w:rsidR="0029177E" w:rsidRPr="00934C8A">
        <w:rPr>
          <w:rFonts w:ascii="Times New Roman" w:hAnsi="Times New Roman" w:cs="Times New Roman"/>
          <w:bCs/>
        </w:rPr>
        <w:t>a printing</w:t>
      </w:r>
      <w:r w:rsidRPr="00934C8A">
        <w:rPr>
          <w:rFonts w:ascii="Times New Roman" w:hAnsi="Times New Roman" w:cs="Times New Roman"/>
          <w:bCs/>
        </w:rPr>
        <w:t xml:space="preserve"> facility etc. to enable the consultant to perform day-to-day work. The Client shall also provide soft and hard copies of any existing relevant project documents.</w:t>
      </w:r>
    </w:p>
    <w:sectPr w:rsidR="00DB1024" w:rsidRPr="00934C8A" w:rsidSect="00711752">
      <w:footerReference w:type="even" r:id="rId11"/>
      <w:footerReference w:type="default" r:id="rId12"/>
      <w:pgSz w:w="12240" w:h="15840"/>
      <w:pgMar w:top="1440" w:right="1440" w:bottom="19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77269" w14:textId="77777777" w:rsidR="008B2DF1" w:rsidRDefault="008B2DF1" w:rsidP="00711752">
      <w:r>
        <w:separator/>
      </w:r>
    </w:p>
  </w:endnote>
  <w:endnote w:type="continuationSeparator" w:id="0">
    <w:p w14:paraId="107885D1" w14:textId="77777777" w:rsidR="008B2DF1" w:rsidRDefault="008B2DF1" w:rsidP="0071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83704476"/>
      <w:docPartObj>
        <w:docPartGallery w:val="Page Numbers (Bottom of Page)"/>
        <w:docPartUnique/>
      </w:docPartObj>
    </w:sdtPr>
    <w:sdtContent>
      <w:p w14:paraId="31173593" w14:textId="5B67C2DE" w:rsidR="00711752" w:rsidRDefault="00711752" w:rsidP="00206A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247131" w14:textId="77777777" w:rsidR="00711752" w:rsidRDefault="00711752" w:rsidP="007117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0773136"/>
      <w:docPartObj>
        <w:docPartGallery w:val="Page Numbers (Bottom of Page)"/>
        <w:docPartUnique/>
      </w:docPartObj>
    </w:sdtPr>
    <w:sdtContent>
      <w:p w14:paraId="03998A68" w14:textId="6CE15EDD" w:rsidR="00711752" w:rsidRDefault="00711752" w:rsidP="00206A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6E3950" w14:textId="77777777" w:rsidR="00711752" w:rsidRDefault="00711752" w:rsidP="007117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2AE11" w14:textId="77777777" w:rsidR="008B2DF1" w:rsidRDefault="008B2DF1" w:rsidP="00711752">
      <w:r>
        <w:separator/>
      </w:r>
    </w:p>
  </w:footnote>
  <w:footnote w:type="continuationSeparator" w:id="0">
    <w:p w14:paraId="6105E339" w14:textId="77777777" w:rsidR="008B2DF1" w:rsidRDefault="008B2DF1" w:rsidP="00711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7839"/>
    <w:multiLevelType w:val="hybridMultilevel"/>
    <w:tmpl w:val="E2683F20"/>
    <w:lvl w:ilvl="0" w:tplc="754691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187B3B"/>
    <w:multiLevelType w:val="hybridMultilevel"/>
    <w:tmpl w:val="D8C816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E36BA3"/>
    <w:multiLevelType w:val="hybridMultilevel"/>
    <w:tmpl w:val="FAF654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C3172"/>
    <w:multiLevelType w:val="multilevel"/>
    <w:tmpl w:val="4F80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15EAA"/>
    <w:multiLevelType w:val="hybridMultilevel"/>
    <w:tmpl w:val="B70001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B4C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960E92"/>
    <w:multiLevelType w:val="hybridMultilevel"/>
    <w:tmpl w:val="365CCAC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D1454"/>
    <w:multiLevelType w:val="hybridMultilevel"/>
    <w:tmpl w:val="30F6A74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57058"/>
    <w:multiLevelType w:val="hybridMultilevel"/>
    <w:tmpl w:val="2F960E74"/>
    <w:lvl w:ilvl="0" w:tplc="2C1C77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5B3438"/>
    <w:multiLevelType w:val="hybridMultilevel"/>
    <w:tmpl w:val="84A2D1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9C5E22"/>
    <w:multiLevelType w:val="hybridMultilevel"/>
    <w:tmpl w:val="25D4A9F0"/>
    <w:lvl w:ilvl="0" w:tplc="754691A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FC94AB1"/>
    <w:multiLevelType w:val="hybridMultilevel"/>
    <w:tmpl w:val="6944C908"/>
    <w:lvl w:ilvl="0" w:tplc="3794A616">
      <w:start w:val="5"/>
      <w:numFmt w:val="decimal"/>
      <w:lvlText w:val="%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A52AC"/>
    <w:multiLevelType w:val="hybridMultilevel"/>
    <w:tmpl w:val="8C16AD48"/>
    <w:lvl w:ilvl="0" w:tplc="08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6333A1B"/>
    <w:multiLevelType w:val="hybridMultilevel"/>
    <w:tmpl w:val="72A48A98"/>
    <w:lvl w:ilvl="0" w:tplc="551ED342">
      <w:start w:val="6"/>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3691B"/>
    <w:multiLevelType w:val="multilevel"/>
    <w:tmpl w:val="E5382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73499"/>
    <w:multiLevelType w:val="hybridMultilevel"/>
    <w:tmpl w:val="26E80A18"/>
    <w:lvl w:ilvl="0" w:tplc="7BB8A76A">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E11E5"/>
    <w:multiLevelType w:val="hybridMultilevel"/>
    <w:tmpl w:val="6C24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F4EC6"/>
    <w:multiLevelType w:val="hybridMultilevel"/>
    <w:tmpl w:val="908CBC46"/>
    <w:lvl w:ilvl="0" w:tplc="A9A4664A">
      <w:numFmt w:val="bullet"/>
      <w:lvlText w:val="-"/>
      <w:lvlJc w:val="left"/>
      <w:pPr>
        <w:ind w:left="720" w:hanging="360"/>
      </w:pPr>
      <w:rPr>
        <w:rFonts w:ascii="Calibri Light" w:eastAsiaTheme="majorEastAsia" w:hAnsi="Calibri Light" w:cs="Calibri Light"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907C2"/>
    <w:multiLevelType w:val="hybridMultilevel"/>
    <w:tmpl w:val="93129F7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047869"/>
    <w:multiLevelType w:val="hybridMultilevel"/>
    <w:tmpl w:val="94F298E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94E0B6C"/>
    <w:multiLevelType w:val="hybridMultilevel"/>
    <w:tmpl w:val="CF966B9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E3929"/>
    <w:multiLevelType w:val="hybridMultilevel"/>
    <w:tmpl w:val="513E4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C9438F"/>
    <w:multiLevelType w:val="hybridMultilevel"/>
    <w:tmpl w:val="F828D91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87F1D"/>
    <w:multiLevelType w:val="hybridMultilevel"/>
    <w:tmpl w:val="900CA65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A93D03"/>
    <w:multiLevelType w:val="hybridMultilevel"/>
    <w:tmpl w:val="F12A5A5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AB653CB"/>
    <w:multiLevelType w:val="hybridMultilevel"/>
    <w:tmpl w:val="D92C23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F7A22EE"/>
    <w:multiLevelType w:val="hybridMultilevel"/>
    <w:tmpl w:val="8396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5518F4"/>
    <w:multiLevelType w:val="hybridMultilevel"/>
    <w:tmpl w:val="12C67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445BB"/>
    <w:multiLevelType w:val="hybridMultilevel"/>
    <w:tmpl w:val="900CA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E530E7"/>
    <w:multiLevelType w:val="hybridMultilevel"/>
    <w:tmpl w:val="1FB845BE"/>
    <w:lvl w:ilvl="0" w:tplc="77C8A75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1327C"/>
    <w:multiLevelType w:val="multilevel"/>
    <w:tmpl w:val="0F26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D755E0"/>
    <w:multiLevelType w:val="hybridMultilevel"/>
    <w:tmpl w:val="F782BBE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EA039CC"/>
    <w:multiLevelType w:val="hybridMultilevel"/>
    <w:tmpl w:val="F4AE3EBA"/>
    <w:lvl w:ilvl="0" w:tplc="754691AC">
      <w:start w:val="1"/>
      <w:numFmt w:val="lowerLetter"/>
      <w:lvlText w:val="(%1)"/>
      <w:lvlJc w:val="left"/>
      <w:pPr>
        <w:ind w:left="1080" w:hanging="360"/>
      </w:pPr>
      <w:rPr>
        <w:rFonts w:hint="default"/>
      </w:rPr>
    </w:lvl>
    <w:lvl w:ilvl="1" w:tplc="CD20B93A">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0136AE"/>
    <w:multiLevelType w:val="hybridMultilevel"/>
    <w:tmpl w:val="D556DF28"/>
    <w:lvl w:ilvl="0" w:tplc="43381D90">
      <w:start w:val="1"/>
      <w:numFmt w:val="lowerRoman"/>
      <w:lvlText w:val="%1)"/>
      <w:lvlJc w:val="left"/>
      <w:pPr>
        <w:ind w:left="677" w:hanging="36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34" w15:restartNumberingAfterBreak="0">
    <w:nsid w:val="713F3D52"/>
    <w:multiLevelType w:val="hybridMultilevel"/>
    <w:tmpl w:val="13FCF3F8"/>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C051F03"/>
    <w:multiLevelType w:val="hybridMultilevel"/>
    <w:tmpl w:val="FA0893E0"/>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461B1"/>
    <w:multiLevelType w:val="hybridMultilevel"/>
    <w:tmpl w:val="42CC133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873758">
    <w:abstractNumId w:val="14"/>
  </w:num>
  <w:num w:numId="2" w16cid:durableId="1535382259">
    <w:abstractNumId w:val="3"/>
  </w:num>
  <w:num w:numId="3" w16cid:durableId="1419641729">
    <w:abstractNumId w:val="30"/>
  </w:num>
  <w:num w:numId="4" w16cid:durableId="1607811335">
    <w:abstractNumId w:val="16"/>
  </w:num>
  <w:num w:numId="5" w16cid:durableId="11383">
    <w:abstractNumId w:val="15"/>
  </w:num>
  <w:num w:numId="6" w16cid:durableId="52393623">
    <w:abstractNumId w:val="4"/>
  </w:num>
  <w:num w:numId="7" w16cid:durableId="852718344">
    <w:abstractNumId w:val="17"/>
  </w:num>
  <w:num w:numId="8" w16cid:durableId="572662208">
    <w:abstractNumId w:val="9"/>
  </w:num>
  <w:num w:numId="9" w16cid:durableId="816650741">
    <w:abstractNumId w:val="26"/>
  </w:num>
  <w:num w:numId="10" w16cid:durableId="949629574">
    <w:abstractNumId w:val="18"/>
  </w:num>
  <w:num w:numId="11" w16cid:durableId="1756703588">
    <w:abstractNumId w:val="1"/>
  </w:num>
  <w:num w:numId="12" w16cid:durableId="1429735959">
    <w:abstractNumId w:val="25"/>
  </w:num>
  <w:num w:numId="13" w16cid:durableId="2060586303">
    <w:abstractNumId w:val="5"/>
  </w:num>
  <w:num w:numId="14" w16cid:durableId="1076782963">
    <w:abstractNumId w:val="21"/>
  </w:num>
  <w:num w:numId="15" w16cid:durableId="1598831568">
    <w:abstractNumId w:val="2"/>
  </w:num>
  <w:num w:numId="16" w16cid:durableId="846748185">
    <w:abstractNumId w:val="27"/>
  </w:num>
  <w:num w:numId="17" w16cid:durableId="1017928632">
    <w:abstractNumId w:val="29"/>
  </w:num>
  <w:num w:numId="18" w16cid:durableId="1624386769">
    <w:abstractNumId w:val="24"/>
  </w:num>
  <w:num w:numId="19" w16cid:durableId="616644131">
    <w:abstractNumId w:val="34"/>
  </w:num>
  <w:num w:numId="20" w16cid:durableId="866260158">
    <w:abstractNumId w:val="31"/>
  </w:num>
  <w:num w:numId="21" w16cid:durableId="633145702">
    <w:abstractNumId w:val="19"/>
  </w:num>
  <w:num w:numId="22" w16cid:durableId="1241721101">
    <w:abstractNumId w:val="8"/>
  </w:num>
  <w:num w:numId="23" w16cid:durableId="2014410001">
    <w:abstractNumId w:val="23"/>
  </w:num>
  <w:num w:numId="24" w16cid:durableId="1652246192">
    <w:abstractNumId w:val="0"/>
  </w:num>
  <w:num w:numId="25" w16cid:durableId="73623491">
    <w:abstractNumId w:val="32"/>
  </w:num>
  <w:num w:numId="26" w16cid:durableId="420684134">
    <w:abstractNumId w:val="7"/>
  </w:num>
  <w:num w:numId="27" w16cid:durableId="1479762016">
    <w:abstractNumId w:val="35"/>
  </w:num>
  <w:num w:numId="28" w16cid:durableId="1730180093">
    <w:abstractNumId w:val="33"/>
  </w:num>
  <w:num w:numId="29" w16cid:durableId="1196313211">
    <w:abstractNumId w:val="28"/>
  </w:num>
  <w:num w:numId="30" w16cid:durableId="1627930177">
    <w:abstractNumId w:val="36"/>
  </w:num>
  <w:num w:numId="31" w16cid:durableId="86579895">
    <w:abstractNumId w:val="11"/>
  </w:num>
  <w:num w:numId="32" w16cid:durableId="1515269683">
    <w:abstractNumId w:val="10"/>
  </w:num>
  <w:num w:numId="33" w16cid:durableId="558327997">
    <w:abstractNumId w:val="22"/>
  </w:num>
  <w:num w:numId="34" w16cid:durableId="1415740492">
    <w:abstractNumId w:val="20"/>
  </w:num>
  <w:num w:numId="35" w16cid:durableId="86508774">
    <w:abstractNumId w:val="13"/>
  </w:num>
  <w:num w:numId="36" w16cid:durableId="1707291221">
    <w:abstractNumId w:val="12"/>
  </w:num>
  <w:num w:numId="37" w16cid:durableId="407390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093"/>
    <w:rsid w:val="0001336F"/>
    <w:rsid w:val="000241D0"/>
    <w:rsid w:val="00031FCD"/>
    <w:rsid w:val="000A0D66"/>
    <w:rsid w:val="000C3848"/>
    <w:rsid w:val="000C3FD6"/>
    <w:rsid w:val="000D7F14"/>
    <w:rsid w:val="000E3032"/>
    <w:rsid w:val="000E6012"/>
    <w:rsid w:val="000F375D"/>
    <w:rsid w:val="0010594D"/>
    <w:rsid w:val="00117AC0"/>
    <w:rsid w:val="00120554"/>
    <w:rsid w:val="00120E25"/>
    <w:rsid w:val="00122FFD"/>
    <w:rsid w:val="001271C1"/>
    <w:rsid w:val="00137608"/>
    <w:rsid w:val="00150B81"/>
    <w:rsid w:val="0018315F"/>
    <w:rsid w:val="001D506B"/>
    <w:rsid w:val="001E5D92"/>
    <w:rsid w:val="001F072B"/>
    <w:rsid w:val="00227A38"/>
    <w:rsid w:val="00263B31"/>
    <w:rsid w:val="00263B5B"/>
    <w:rsid w:val="00265DCA"/>
    <w:rsid w:val="00284CF3"/>
    <w:rsid w:val="0029035B"/>
    <w:rsid w:val="0029177E"/>
    <w:rsid w:val="00294E97"/>
    <w:rsid w:val="00295B18"/>
    <w:rsid w:val="00296D7A"/>
    <w:rsid w:val="002B2296"/>
    <w:rsid w:val="002E5D83"/>
    <w:rsid w:val="003107B7"/>
    <w:rsid w:val="003240EF"/>
    <w:rsid w:val="00342F83"/>
    <w:rsid w:val="00382E23"/>
    <w:rsid w:val="00394A8A"/>
    <w:rsid w:val="00426100"/>
    <w:rsid w:val="00433FE2"/>
    <w:rsid w:val="00435E04"/>
    <w:rsid w:val="00446485"/>
    <w:rsid w:val="004A05BB"/>
    <w:rsid w:val="004A6B28"/>
    <w:rsid w:val="004B5CA4"/>
    <w:rsid w:val="004D2FEE"/>
    <w:rsid w:val="004E4646"/>
    <w:rsid w:val="004F0116"/>
    <w:rsid w:val="005234AF"/>
    <w:rsid w:val="00524259"/>
    <w:rsid w:val="00535711"/>
    <w:rsid w:val="005D22FE"/>
    <w:rsid w:val="005D528C"/>
    <w:rsid w:val="005E3951"/>
    <w:rsid w:val="0060581C"/>
    <w:rsid w:val="006257E9"/>
    <w:rsid w:val="0062648F"/>
    <w:rsid w:val="00636788"/>
    <w:rsid w:val="006411CF"/>
    <w:rsid w:val="00644790"/>
    <w:rsid w:val="006524CF"/>
    <w:rsid w:val="00661F68"/>
    <w:rsid w:val="006707FA"/>
    <w:rsid w:val="0067374D"/>
    <w:rsid w:val="00691852"/>
    <w:rsid w:val="006C5B1F"/>
    <w:rsid w:val="006D7DAC"/>
    <w:rsid w:val="006E36E8"/>
    <w:rsid w:val="00711752"/>
    <w:rsid w:val="007127D8"/>
    <w:rsid w:val="00713093"/>
    <w:rsid w:val="007650BD"/>
    <w:rsid w:val="00772B28"/>
    <w:rsid w:val="007A7F89"/>
    <w:rsid w:val="007E2EC6"/>
    <w:rsid w:val="007F12A0"/>
    <w:rsid w:val="00803505"/>
    <w:rsid w:val="00824F8C"/>
    <w:rsid w:val="00836DD2"/>
    <w:rsid w:val="00861107"/>
    <w:rsid w:val="00863F75"/>
    <w:rsid w:val="00873538"/>
    <w:rsid w:val="00880BC7"/>
    <w:rsid w:val="00890D0B"/>
    <w:rsid w:val="0089337E"/>
    <w:rsid w:val="008B0562"/>
    <w:rsid w:val="008B1A54"/>
    <w:rsid w:val="008B2DF1"/>
    <w:rsid w:val="008D2B31"/>
    <w:rsid w:val="008D3227"/>
    <w:rsid w:val="008D40C1"/>
    <w:rsid w:val="008D6295"/>
    <w:rsid w:val="008F7874"/>
    <w:rsid w:val="008F7BB1"/>
    <w:rsid w:val="00900416"/>
    <w:rsid w:val="00931CD0"/>
    <w:rsid w:val="00934C8A"/>
    <w:rsid w:val="00966806"/>
    <w:rsid w:val="00977EFC"/>
    <w:rsid w:val="009C513A"/>
    <w:rsid w:val="009C58E5"/>
    <w:rsid w:val="009D1BF4"/>
    <w:rsid w:val="009D4432"/>
    <w:rsid w:val="00A03BB1"/>
    <w:rsid w:val="00A13C1D"/>
    <w:rsid w:val="00A21239"/>
    <w:rsid w:val="00A5570B"/>
    <w:rsid w:val="00A6038D"/>
    <w:rsid w:val="00A652D6"/>
    <w:rsid w:val="00A80134"/>
    <w:rsid w:val="00A85C25"/>
    <w:rsid w:val="00A927BB"/>
    <w:rsid w:val="00A9544B"/>
    <w:rsid w:val="00AA15E0"/>
    <w:rsid w:val="00AA1CB3"/>
    <w:rsid w:val="00AA2EBB"/>
    <w:rsid w:val="00AF0040"/>
    <w:rsid w:val="00AF1EEE"/>
    <w:rsid w:val="00B03045"/>
    <w:rsid w:val="00B35583"/>
    <w:rsid w:val="00B44795"/>
    <w:rsid w:val="00B4654A"/>
    <w:rsid w:val="00B471F9"/>
    <w:rsid w:val="00B5004A"/>
    <w:rsid w:val="00B67A0A"/>
    <w:rsid w:val="00B7002F"/>
    <w:rsid w:val="00B712A6"/>
    <w:rsid w:val="00B83321"/>
    <w:rsid w:val="00B96206"/>
    <w:rsid w:val="00BA55AF"/>
    <w:rsid w:val="00BC7AB4"/>
    <w:rsid w:val="00BD7C44"/>
    <w:rsid w:val="00BF192C"/>
    <w:rsid w:val="00C07AB9"/>
    <w:rsid w:val="00C07D17"/>
    <w:rsid w:val="00C139B3"/>
    <w:rsid w:val="00C33200"/>
    <w:rsid w:val="00C5690A"/>
    <w:rsid w:val="00C60DF8"/>
    <w:rsid w:val="00C66C39"/>
    <w:rsid w:val="00C702BC"/>
    <w:rsid w:val="00C71239"/>
    <w:rsid w:val="00C754AF"/>
    <w:rsid w:val="00C833F1"/>
    <w:rsid w:val="00C83DF1"/>
    <w:rsid w:val="00CA3544"/>
    <w:rsid w:val="00CB04A2"/>
    <w:rsid w:val="00CB0BE0"/>
    <w:rsid w:val="00CB4F43"/>
    <w:rsid w:val="00CC46F5"/>
    <w:rsid w:val="00CC54BF"/>
    <w:rsid w:val="00CD2A99"/>
    <w:rsid w:val="00CD3A55"/>
    <w:rsid w:val="00CF7D8A"/>
    <w:rsid w:val="00D012CE"/>
    <w:rsid w:val="00D06A14"/>
    <w:rsid w:val="00D127F8"/>
    <w:rsid w:val="00D27D00"/>
    <w:rsid w:val="00D4077D"/>
    <w:rsid w:val="00D42ADF"/>
    <w:rsid w:val="00D4314B"/>
    <w:rsid w:val="00D478B1"/>
    <w:rsid w:val="00D5611E"/>
    <w:rsid w:val="00D56703"/>
    <w:rsid w:val="00D722E2"/>
    <w:rsid w:val="00DA62D1"/>
    <w:rsid w:val="00DB1024"/>
    <w:rsid w:val="00DC1453"/>
    <w:rsid w:val="00E0453A"/>
    <w:rsid w:val="00E17DBD"/>
    <w:rsid w:val="00E53877"/>
    <w:rsid w:val="00E96B90"/>
    <w:rsid w:val="00EB1DA2"/>
    <w:rsid w:val="00EC5FC3"/>
    <w:rsid w:val="00ED74A7"/>
    <w:rsid w:val="00EE5016"/>
    <w:rsid w:val="00EF3E8E"/>
    <w:rsid w:val="00F00743"/>
    <w:rsid w:val="00F0435D"/>
    <w:rsid w:val="00F355D9"/>
    <w:rsid w:val="00F40E84"/>
    <w:rsid w:val="00F56DD7"/>
    <w:rsid w:val="00F65A17"/>
    <w:rsid w:val="00FD3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1214"/>
  <w15:chartTrackingRefBased/>
  <w15:docId w15:val="{28AAD9A2-C31C-4947-81A2-AFF3F7CF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09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3093"/>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713093"/>
  </w:style>
  <w:style w:type="character" w:customStyle="1" w:styleId="Heading1Char">
    <w:name w:val="Heading 1 Char"/>
    <w:basedOn w:val="DefaultParagraphFont"/>
    <w:link w:val="Heading1"/>
    <w:uiPriority w:val="9"/>
    <w:rsid w:val="00713093"/>
    <w:rPr>
      <w:rFonts w:asciiTheme="majorHAnsi" w:eastAsiaTheme="majorEastAsia" w:hAnsiTheme="majorHAnsi" w:cstheme="majorBidi"/>
      <w:color w:val="2F5496" w:themeColor="accent1" w:themeShade="BF"/>
      <w:sz w:val="32"/>
      <w:szCs w:val="32"/>
    </w:rPr>
  </w:style>
  <w:style w:type="paragraph" w:styleId="ListParagraph">
    <w:name w:val="List Paragraph"/>
    <w:aliases w:val="Multilevel para_II,List Paragraph (numbered (a)),References,WB List Paragraph,Bullets,Liste 1,List Paragraph1,Medium Grid 1 - Accent 21,List Paragraph nowy,Numbered List Paragraph,ReferencesCxSpLast,123 List Paragraph,List_Paragraph,Dot p"/>
    <w:basedOn w:val="Normal"/>
    <w:link w:val="ListParagraphChar"/>
    <w:uiPriority w:val="34"/>
    <w:qFormat/>
    <w:rsid w:val="00117AC0"/>
    <w:pPr>
      <w:ind w:left="720"/>
      <w:contextualSpacing/>
    </w:pPr>
  </w:style>
  <w:style w:type="character" w:styleId="CommentReference">
    <w:name w:val="annotation reference"/>
    <w:basedOn w:val="DefaultParagraphFont"/>
    <w:uiPriority w:val="99"/>
    <w:semiHidden/>
    <w:unhideWhenUsed/>
    <w:rsid w:val="00F65A17"/>
    <w:rPr>
      <w:sz w:val="16"/>
      <w:szCs w:val="16"/>
    </w:rPr>
  </w:style>
  <w:style w:type="paragraph" w:styleId="CommentText">
    <w:name w:val="annotation text"/>
    <w:basedOn w:val="Normal"/>
    <w:link w:val="CommentTextChar"/>
    <w:uiPriority w:val="99"/>
    <w:unhideWhenUsed/>
    <w:rsid w:val="00F65A17"/>
    <w:rPr>
      <w:sz w:val="20"/>
      <w:szCs w:val="20"/>
    </w:rPr>
  </w:style>
  <w:style w:type="character" w:customStyle="1" w:styleId="CommentTextChar">
    <w:name w:val="Comment Text Char"/>
    <w:basedOn w:val="DefaultParagraphFont"/>
    <w:link w:val="CommentText"/>
    <w:uiPriority w:val="99"/>
    <w:rsid w:val="00F65A17"/>
    <w:rPr>
      <w:sz w:val="20"/>
      <w:szCs w:val="20"/>
    </w:rPr>
  </w:style>
  <w:style w:type="paragraph" w:styleId="CommentSubject">
    <w:name w:val="annotation subject"/>
    <w:basedOn w:val="CommentText"/>
    <w:next w:val="CommentText"/>
    <w:link w:val="CommentSubjectChar"/>
    <w:uiPriority w:val="99"/>
    <w:semiHidden/>
    <w:unhideWhenUsed/>
    <w:rsid w:val="00F65A17"/>
    <w:rPr>
      <w:b/>
      <w:bCs/>
    </w:rPr>
  </w:style>
  <w:style w:type="character" w:customStyle="1" w:styleId="CommentSubjectChar">
    <w:name w:val="Comment Subject Char"/>
    <w:basedOn w:val="CommentTextChar"/>
    <w:link w:val="CommentSubject"/>
    <w:uiPriority w:val="99"/>
    <w:semiHidden/>
    <w:rsid w:val="00F65A17"/>
    <w:rPr>
      <w:b/>
      <w:bCs/>
      <w:sz w:val="20"/>
      <w:szCs w:val="20"/>
    </w:rPr>
  </w:style>
  <w:style w:type="paragraph" w:styleId="BalloonText">
    <w:name w:val="Balloon Text"/>
    <w:basedOn w:val="Normal"/>
    <w:link w:val="BalloonTextChar"/>
    <w:uiPriority w:val="99"/>
    <w:semiHidden/>
    <w:unhideWhenUsed/>
    <w:rsid w:val="00F65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A17"/>
    <w:rPr>
      <w:rFonts w:ascii="Segoe UI" w:hAnsi="Segoe UI" w:cs="Segoe UI"/>
      <w:sz w:val="18"/>
      <w:szCs w:val="18"/>
    </w:rPr>
  </w:style>
  <w:style w:type="paragraph" w:customStyle="1" w:styleId="Default">
    <w:name w:val="Default"/>
    <w:rsid w:val="005D528C"/>
    <w:pPr>
      <w:autoSpaceDE w:val="0"/>
      <w:autoSpaceDN w:val="0"/>
      <w:adjustRightInd w:val="0"/>
    </w:pPr>
    <w:rPr>
      <w:rFonts w:ascii="Myriad Pro" w:eastAsia="Calibri" w:hAnsi="Myriad Pro" w:cs="Myriad Pro"/>
      <w:color w:val="000000"/>
      <w:lang w:val="en-GB"/>
    </w:rPr>
  </w:style>
  <w:style w:type="paragraph" w:styleId="Footer">
    <w:name w:val="footer"/>
    <w:basedOn w:val="Normal"/>
    <w:link w:val="FooterChar"/>
    <w:uiPriority w:val="99"/>
    <w:unhideWhenUsed/>
    <w:rsid w:val="00711752"/>
    <w:pPr>
      <w:tabs>
        <w:tab w:val="center" w:pos="4680"/>
        <w:tab w:val="right" w:pos="9360"/>
      </w:tabs>
    </w:pPr>
  </w:style>
  <w:style w:type="character" w:customStyle="1" w:styleId="FooterChar">
    <w:name w:val="Footer Char"/>
    <w:basedOn w:val="DefaultParagraphFont"/>
    <w:link w:val="Footer"/>
    <w:uiPriority w:val="99"/>
    <w:rsid w:val="00711752"/>
  </w:style>
  <w:style w:type="character" w:styleId="PageNumber">
    <w:name w:val="page number"/>
    <w:basedOn w:val="DefaultParagraphFont"/>
    <w:uiPriority w:val="99"/>
    <w:semiHidden/>
    <w:unhideWhenUsed/>
    <w:rsid w:val="00711752"/>
  </w:style>
  <w:style w:type="character" w:customStyle="1" w:styleId="ListParagraphChar">
    <w:name w:val="List Paragraph Char"/>
    <w:aliases w:val="Multilevel para_II Char,List Paragraph (numbered (a)) Char,References Char,WB List Paragraph Char,Bullets Char,Liste 1 Char,List Paragraph1 Char,Medium Grid 1 - Accent 21 Char,List Paragraph nowy Char,Numbered List Paragraph Char"/>
    <w:link w:val="ListParagraph"/>
    <w:uiPriority w:val="34"/>
    <w:qFormat/>
    <w:rsid w:val="00863F75"/>
  </w:style>
  <w:style w:type="paragraph" w:styleId="Revision">
    <w:name w:val="Revision"/>
    <w:hidden/>
    <w:uiPriority w:val="99"/>
    <w:semiHidden/>
    <w:rsid w:val="00B0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252470">
      <w:bodyDiv w:val="1"/>
      <w:marLeft w:val="0"/>
      <w:marRight w:val="0"/>
      <w:marTop w:val="0"/>
      <w:marBottom w:val="0"/>
      <w:divBdr>
        <w:top w:val="none" w:sz="0" w:space="0" w:color="auto"/>
        <w:left w:val="none" w:sz="0" w:space="0" w:color="auto"/>
        <w:bottom w:val="none" w:sz="0" w:space="0" w:color="auto"/>
        <w:right w:val="none" w:sz="0" w:space="0" w:color="auto"/>
      </w:divBdr>
      <w:divsChild>
        <w:div w:id="133105229">
          <w:marLeft w:val="0"/>
          <w:marRight w:val="0"/>
          <w:marTop w:val="0"/>
          <w:marBottom w:val="0"/>
          <w:divBdr>
            <w:top w:val="none" w:sz="0" w:space="0" w:color="auto"/>
            <w:left w:val="none" w:sz="0" w:space="0" w:color="auto"/>
            <w:bottom w:val="none" w:sz="0" w:space="0" w:color="auto"/>
            <w:right w:val="none" w:sz="0" w:space="0" w:color="auto"/>
          </w:divBdr>
          <w:divsChild>
            <w:div w:id="175004446">
              <w:marLeft w:val="0"/>
              <w:marRight w:val="0"/>
              <w:marTop w:val="0"/>
              <w:marBottom w:val="0"/>
              <w:divBdr>
                <w:top w:val="none" w:sz="0" w:space="0" w:color="auto"/>
                <w:left w:val="none" w:sz="0" w:space="0" w:color="auto"/>
                <w:bottom w:val="none" w:sz="0" w:space="0" w:color="auto"/>
                <w:right w:val="none" w:sz="0" w:space="0" w:color="auto"/>
              </w:divBdr>
              <w:divsChild>
                <w:div w:id="490752352">
                  <w:marLeft w:val="0"/>
                  <w:marRight w:val="0"/>
                  <w:marTop w:val="0"/>
                  <w:marBottom w:val="0"/>
                  <w:divBdr>
                    <w:top w:val="none" w:sz="0" w:space="0" w:color="auto"/>
                    <w:left w:val="none" w:sz="0" w:space="0" w:color="auto"/>
                    <w:bottom w:val="none" w:sz="0" w:space="0" w:color="auto"/>
                    <w:right w:val="none" w:sz="0" w:space="0" w:color="auto"/>
                  </w:divBdr>
                </w:div>
              </w:divsChild>
            </w:div>
            <w:div w:id="620380165">
              <w:marLeft w:val="0"/>
              <w:marRight w:val="0"/>
              <w:marTop w:val="0"/>
              <w:marBottom w:val="0"/>
              <w:divBdr>
                <w:top w:val="none" w:sz="0" w:space="0" w:color="auto"/>
                <w:left w:val="none" w:sz="0" w:space="0" w:color="auto"/>
                <w:bottom w:val="none" w:sz="0" w:space="0" w:color="auto"/>
                <w:right w:val="none" w:sz="0" w:space="0" w:color="auto"/>
              </w:divBdr>
              <w:divsChild>
                <w:div w:id="5865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4963">
          <w:marLeft w:val="0"/>
          <w:marRight w:val="0"/>
          <w:marTop w:val="0"/>
          <w:marBottom w:val="0"/>
          <w:divBdr>
            <w:top w:val="none" w:sz="0" w:space="0" w:color="auto"/>
            <w:left w:val="none" w:sz="0" w:space="0" w:color="auto"/>
            <w:bottom w:val="none" w:sz="0" w:space="0" w:color="auto"/>
            <w:right w:val="none" w:sz="0" w:space="0" w:color="auto"/>
          </w:divBdr>
          <w:divsChild>
            <w:div w:id="1414088726">
              <w:marLeft w:val="0"/>
              <w:marRight w:val="0"/>
              <w:marTop w:val="0"/>
              <w:marBottom w:val="0"/>
              <w:divBdr>
                <w:top w:val="none" w:sz="0" w:space="0" w:color="auto"/>
                <w:left w:val="none" w:sz="0" w:space="0" w:color="auto"/>
                <w:bottom w:val="none" w:sz="0" w:space="0" w:color="auto"/>
                <w:right w:val="none" w:sz="0" w:space="0" w:color="auto"/>
              </w:divBdr>
              <w:divsChild>
                <w:div w:id="873688330">
                  <w:marLeft w:val="0"/>
                  <w:marRight w:val="0"/>
                  <w:marTop w:val="0"/>
                  <w:marBottom w:val="0"/>
                  <w:divBdr>
                    <w:top w:val="none" w:sz="0" w:space="0" w:color="auto"/>
                    <w:left w:val="none" w:sz="0" w:space="0" w:color="auto"/>
                    <w:bottom w:val="none" w:sz="0" w:space="0" w:color="auto"/>
                    <w:right w:val="none" w:sz="0" w:space="0" w:color="auto"/>
                  </w:divBdr>
                </w:div>
              </w:divsChild>
            </w:div>
            <w:div w:id="1059404609">
              <w:marLeft w:val="0"/>
              <w:marRight w:val="0"/>
              <w:marTop w:val="0"/>
              <w:marBottom w:val="0"/>
              <w:divBdr>
                <w:top w:val="none" w:sz="0" w:space="0" w:color="auto"/>
                <w:left w:val="none" w:sz="0" w:space="0" w:color="auto"/>
                <w:bottom w:val="none" w:sz="0" w:space="0" w:color="auto"/>
                <w:right w:val="none" w:sz="0" w:space="0" w:color="auto"/>
              </w:divBdr>
              <w:divsChild>
                <w:div w:id="9121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79959D-EC3A-47B4-BB9A-D8E4DD3F2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3FE20-4732-4B28-AFED-9E7AE7038C8C}">
  <ds:schemaRefs>
    <ds:schemaRef ds:uri="http://schemas.microsoft.com/sharepoint/v3/contenttype/forms"/>
  </ds:schemaRefs>
</ds:datastoreItem>
</file>

<file path=customXml/itemProps3.xml><?xml version="1.0" encoding="utf-8"?>
<ds:datastoreItem xmlns:ds="http://schemas.openxmlformats.org/officeDocument/2006/customXml" ds:itemID="{394C6E76-65AD-4E30-8A6F-F085442CC66C}">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Liban Ibrahim</cp:lastModifiedBy>
  <cp:revision>12</cp:revision>
  <dcterms:created xsi:type="dcterms:W3CDTF">2024-08-05T14:11:00Z</dcterms:created>
  <dcterms:modified xsi:type="dcterms:W3CDTF">2024-08-12T08:46:00Z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