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367CF" w14:textId="42C6B9D0" w:rsidR="004F64A5" w:rsidRPr="0048766D" w:rsidRDefault="0048766D" w:rsidP="0048766D">
      <w:pPr>
        <w:spacing w:line="276" w:lineRule="auto"/>
        <w:jc w:val="both"/>
      </w:pPr>
      <w:bookmarkStart w:id="0" w:name="_Toc27167699"/>
      <w:r w:rsidRPr="0048766D">
        <w:rPr>
          <w:noProof/>
        </w:rPr>
        <w:drawing>
          <wp:anchor distT="0" distB="0" distL="114300" distR="114300" simplePos="0" relativeHeight="251658240" behindDoc="1" locked="0" layoutInCell="1" allowOverlap="1" wp14:anchorId="70510FBB" wp14:editId="061C5139">
            <wp:simplePos x="0" y="0"/>
            <wp:positionH relativeFrom="column">
              <wp:posOffset>2447925</wp:posOffset>
            </wp:positionH>
            <wp:positionV relativeFrom="paragraph">
              <wp:posOffset>0</wp:posOffset>
            </wp:positionV>
            <wp:extent cx="1097280" cy="853440"/>
            <wp:effectExtent l="0" t="0" r="7620" b="3810"/>
            <wp:wrapTight wrapText="bothSides">
              <wp:wrapPolygon edited="0">
                <wp:start x="6000" y="0"/>
                <wp:lineTo x="1500" y="3857"/>
                <wp:lineTo x="750" y="4821"/>
                <wp:lineTo x="0" y="15429"/>
                <wp:lineTo x="0" y="20732"/>
                <wp:lineTo x="7875" y="21214"/>
                <wp:lineTo x="13500" y="21214"/>
                <wp:lineTo x="21375" y="20732"/>
                <wp:lineTo x="21375" y="15429"/>
                <wp:lineTo x="21000" y="5786"/>
                <wp:lineTo x="19500" y="3375"/>
                <wp:lineTo x="15375" y="0"/>
                <wp:lineTo x="60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853440"/>
                    </a:xfrm>
                    <a:prstGeom prst="rect">
                      <a:avLst/>
                    </a:prstGeom>
                    <a:noFill/>
                  </pic:spPr>
                </pic:pic>
              </a:graphicData>
            </a:graphic>
            <wp14:sizeRelH relativeFrom="page">
              <wp14:pctWidth>0</wp14:pctWidth>
            </wp14:sizeRelH>
            <wp14:sizeRelV relativeFrom="page">
              <wp14:pctHeight>0</wp14:pctHeight>
            </wp14:sizeRelV>
          </wp:anchor>
        </w:drawing>
      </w:r>
    </w:p>
    <w:p w14:paraId="52225474" w14:textId="7C1B6A37" w:rsidR="004F64A5" w:rsidRPr="0048766D" w:rsidRDefault="004F64A5" w:rsidP="0048766D">
      <w:pPr>
        <w:spacing w:line="276" w:lineRule="auto"/>
        <w:jc w:val="center"/>
      </w:pPr>
    </w:p>
    <w:p w14:paraId="66C88F6E" w14:textId="77777777" w:rsidR="004F64A5" w:rsidRPr="0048766D" w:rsidRDefault="004F64A5" w:rsidP="0048766D">
      <w:pPr>
        <w:spacing w:line="276" w:lineRule="auto"/>
        <w:rPr>
          <w:b/>
          <w:color w:val="373A3C"/>
        </w:rPr>
      </w:pPr>
    </w:p>
    <w:p w14:paraId="3079BBD0" w14:textId="77777777" w:rsidR="0048766D" w:rsidRDefault="0048766D" w:rsidP="0048766D">
      <w:pPr>
        <w:spacing w:line="276" w:lineRule="auto"/>
        <w:jc w:val="center"/>
        <w:rPr>
          <w:b/>
          <w:color w:val="373A3C"/>
        </w:rPr>
      </w:pPr>
    </w:p>
    <w:p w14:paraId="747B3C1B" w14:textId="77777777" w:rsidR="0048766D" w:rsidRDefault="0048766D" w:rsidP="0048766D">
      <w:pPr>
        <w:spacing w:line="276" w:lineRule="auto"/>
        <w:jc w:val="center"/>
        <w:rPr>
          <w:b/>
          <w:color w:val="373A3C"/>
        </w:rPr>
      </w:pPr>
    </w:p>
    <w:p w14:paraId="5583713A" w14:textId="4926E710" w:rsidR="004F64A5" w:rsidRPr="0048766D" w:rsidRDefault="004F64A5" w:rsidP="0048766D">
      <w:pPr>
        <w:spacing w:line="276" w:lineRule="auto"/>
        <w:jc w:val="center"/>
        <w:rPr>
          <w:b/>
          <w:color w:val="373A3C"/>
        </w:rPr>
      </w:pPr>
      <w:r w:rsidRPr="0048766D">
        <w:rPr>
          <w:b/>
          <w:color w:val="373A3C"/>
        </w:rPr>
        <w:t xml:space="preserve">Federal Government of Somalia </w:t>
      </w:r>
    </w:p>
    <w:p w14:paraId="2E9BA5B3" w14:textId="77777777" w:rsidR="004F64A5" w:rsidRPr="0048766D" w:rsidRDefault="004F64A5" w:rsidP="0048766D">
      <w:pPr>
        <w:spacing w:line="276" w:lineRule="auto"/>
        <w:jc w:val="center"/>
        <w:rPr>
          <w:b/>
          <w:color w:val="373A3C"/>
        </w:rPr>
      </w:pPr>
      <w:r w:rsidRPr="0048766D">
        <w:rPr>
          <w:b/>
          <w:color w:val="373A3C"/>
        </w:rPr>
        <w:t xml:space="preserve">Ministry of Energy and Water Resources </w:t>
      </w:r>
    </w:p>
    <w:p w14:paraId="24307F86" w14:textId="77777777" w:rsidR="004F64A5" w:rsidRPr="0048766D" w:rsidRDefault="004F64A5" w:rsidP="0048766D">
      <w:pPr>
        <w:spacing w:before="120" w:after="120" w:line="276" w:lineRule="auto"/>
        <w:jc w:val="center"/>
        <w:rPr>
          <w:b/>
          <w:color w:val="373A3C"/>
        </w:rPr>
      </w:pPr>
      <w:r w:rsidRPr="0048766D">
        <w:rPr>
          <w:b/>
          <w:color w:val="373A3C"/>
        </w:rPr>
        <w:t>TERMS OF REFERENCE</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65"/>
        <w:gridCol w:w="5451"/>
      </w:tblGrid>
      <w:tr w:rsidR="004F64A5" w:rsidRPr="0048766D" w14:paraId="54B4DED1" w14:textId="77777777" w:rsidTr="00B303C4">
        <w:tc>
          <w:tcPr>
            <w:tcW w:w="1977" w:type="pct"/>
            <w:shd w:val="clear" w:color="auto" w:fill="auto"/>
          </w:tcPr>
          <w:p w14:paraId="7398F3B2" w14:textId="77777777" w:rsidR="004F64A5" w:rsidRPr="0048766D" w:rsidRDefault="004F64A5" w:rsidP="0048766D">
            <w:pPr>
              <w:spacing w:line="276" w:lineRule="auto"/>
              <w:rPr>
                <w:b/>
                <w:color w:val="373A3C"/>
              </w:rPr>
            </w:pPr>
            <w:r w:rsidRPr="0048766D">
              <w:rPr>
                <w:b/>
                <w:color w:val="373A3C"/>
              </w:rPr>
              <w:t>Country:</w:t>
            </w:r>
          </w:p>
        </w:tc>
        <w:tc>
          <w:tcPr>
            <w:tcW w:w="3023" w:type="pct"/>
            <w:shd w:val="clear" w:color="auto" w:fill="auto"/>
          </w:tcPr>
          <w:p w14:paraId="4DC9E076" w14:textId="77777777" w:rsidR="004F64A5" w:rsidRPr="0048766D" w:rsidRDefault="004F64A5" w:rsidP="0048766D">
            <w:pPr>
              <w:spacing w:line="276" w:lineRule="auto"/>
              <w:rPr>
                <w:bCs/>
                <w:color w:val="373A3C"/>
              </w:rPr>
            </w:pPr>
            <w:r w:rsidRPr="0048766D">
              <w:rPr>
                <w:bCs/>
                <w:color w:val="373A3C"/>
              </w:rPr>
              <w:t>Federal Government of Somalia</w:t>
            </w:r>
          </w:p>
        </w:tc>
      </w:tr>
      <w:tr w:rsidR="004F64A5" w:rsidRPr="0048766D" w14:paraId="6958D45E" w14:textId="77777777" w:rsidTr="00B303C4">
        <w:tc>
          <w:tcPr>
            <w:tcW w:w="1977" w:type="pct"/>
            <w:shd w:val="clear" w:color="auto" w:fill="auto"/>
          </w:tcPr>
          <w:p w14:paraId="39D4CA7F" w14:textId="77777777" w:rsidR="004F64A5" w:rsidRPr="0048766D" w:rsidRDefault="004F64A5" w:rsidP="0048766D">
            <w:pPr>
              <w:spacing w:line="276" w:lineRule="auto"/>
              <w:rPr>
                <w:b/>
                <w:color w:val="373A3C"/>
              </w:rPr>
            </w:pPr>
            <w:r w:rsidRPr="0048766D">
              <w:rPr>
                <w:b/>
                <w:color w:val="373A3C"/>
              </w:rPr>
              <w:t>Name of Project:</w:t>
            </w:r>
          </w:p>
        </w:tc>
        <w:tc>
          <w:tcPr>
            <w:tcW w:w="3023" w:type="pct"/>
            <w:shd w:val="clear" w:color="auto" w:fill="auto"/>
          </w:tcPr>
          <w:p w14:paraId="33694A6C" w14:textId="66CBF79C" w:rsidR="004F64A5" w:rsidRPr="0048766D" w:rsidRDefault="004F64A5" w:rsidP="0048766D">
            <w:pPr>
              <w:spacing w:line="276" w:lineRule="auto"/>
              <w:rPr>
                <w:bCs/>
                <w:color w:val="373A3C"/>
              </w:rPr>
            </w:pPr>
            <w:r w:rsidRPr="0048766D">
              <w:rPr>
                <w:bCs/>
                <w:color w:val="373A3C"/>
              </w:rPr>
              <w:t>Somali E</w:t>
            </w:r>
            <w:r w:rsidR="00EE329A" w:rsidRPr="0048766D">
              <w:rPr>
                <w:bCs/>
                <w:color w:val="373A3C"/>
              </w:rPr>
              <w:t>lectricity</w:t>
            </w:r>
            <w:r w:rsidRPr="0048766D">
              <w:rPr>
                <w:bCs/>
                <w:color w:val="373A3C"/>
              </w:rPr>
              <w:t xml:space="preserve"> Sector Recovery Project (SESRP)</w:t>
            </w:r>
          </w:p>
        </w:tc>
      </w:tr>
      <w:tr w:rsidR="004F64A5" w:rsidRPr="0048766D" w14:paraId="19E6BD89" w14:textId="77777777" w:rsidTr="00B303C4">
        <w:tc>
          <w:tcPr>
            <w:tcW w:w="1977" w:type="pct"/>
            <w:shd w:val="clear" w:color="auto" w:fill="auto"/>
          </w:tcPr>
          <w:p w14:paraId="0FD810C3" w14:textId="77777777" w:rsidR="004F64A5" w:rsidRPr="0048766D" w:rsidRDefault="004F64A5" w:rsidP="0048766D">
            <w:pPr>
              <w:spacing w:line="276" w:lineRule="auto"/>
              <w:rPr>
                <w:b/>
                <w:color w:val="373A3C"/>
              </w:rPr>
            </w:pPr>
            <w:r w:rsidRPr="0048766D">
              <w:rPr>
                <w:b/>
                <w:color w:val="373A3C"/>
              </w:rPr>
              <w:t>Project ID:</w:t>
            </w:r>
          </w:p>
        </w:tc>
        <w:tc>
          <w:tcPr>
            <w:tcW w:w="3023" w:type="pct"/>
            <w:shd w:val="clear" w:color="auto" w:fill="auto"/>
          </w:tcPr>
          <w:p w14:paraId="6F07D0EB" w14:textId="50008D34" w:rsidR="004F64A5" w:rsidRPr="0048766D" w:rsidRDefault="004F64A5" w:rsidP="0048766D">
            <w:pPr>
              <w:spacing w:line="276" w:lineRule="auto"/>
              <w:rPr>
                <w:bCs/>
                <w:color w:val="373A3C"/>
              </w:rPr>
            </w:pPr>
            <w:r w:rsidRPr="0048766D">
              <w:rPr>
                <w:bCs/>
                <w:color w:val="373A3C"/>
              </w:rPr>
              <w:t>P173088</w:t>
            </w:r>
            <w:r w:rsidR="00B67484" w:rsidRPr="0048766D">
              <w:rPr>
                <w:bCs/>
                <w:color w:val="373A3C"/>
              </w:rPr>
              <w:t xml:space="preserve">, </w:t>
            </w:r>
          </w:p>
        </w:tc>
      </w:tr>
      <w:tr w:rsidR="004F64A5" w:rsidRPr="0048766D" w14:paraId="3A176831" w14:textId="77777777" w:rsidTr="00B303C4">
        <w:tc>
          <w:tcPr>
            <w:tcW w:w="1977" w:type="pct"/>
            <w:shd w:val="clear" w:color="auto" w:fill="auto"/>
          </w:tcPr>
          <w:p w14:paraId="4401F57B" w14:textId="77777777" w:rsidR="004F64A5" w:rsidRPr="0048766D" w:rsidRDefault="004F64A5" w:rsidP="0048766D">
            <w:pPr>
              <w:spacing w:line="276" w:lineRule="auto"/>
              <w:rPr>
                <w:b/>
                <w:color w:val="373A3C"/>
              </w:rPr>
            </w:pPr>
            <w:r w:rsidRPr="0048766D">
              <w:rPr>
                <w:b/>
                <w:color w:val="373A3C"/>
              </w:rPr>
              <w:t>Assignment Title:</w:t>
            </w:r>
          </w:p>
        </w:tc>
        <w:tc>
          <w:tcPr>
            <w:tcW w:w="3023" w:type="pct"/>
            <w:shd w:val="clear" w:color="auto" w:fill="auto"/>
          </w:tcPr>
          <w:p w14:paraId="1A3338D1" w14:textId="15CAAAA1" w:rsidR="004F64A5" w:rsidRPr="0048766D" w:rsidRDefault="0091794E" w:rsidP="0048766D">
            <w:pPr>
              <w:spacing w:line="276" w:lineRule="auto"/>
              <w:rPr>
                <w:bCs/>
                <w:color w:val="373A3C"/>
              </w:rPr>
            </w:pPr>
            <w:r w:rsidRPr="0048766D">
              <w:rPr>
                <w:bCs/>
                <w:color w:val="373A3C"/>
              </w:rPr>
              <w:t>Technical Regulation Advisor</w:t>
            </w:r>
          </w:p>
        </w:tc>
      </w:tr>
      <w:tr w:rsidR="004F64A5" w:rsidRPr="0048766D" w14:paraId="646CA3CF" w14:textId="77777777" w:rsidTr="00B303C4">
        <w:tc>
          <w:tcPr>
            <w:tcW w:w="1977" w:type="pct"/>
            <w:tcBorders>
              <w:top w:val="dotted" w:sz="4" w:space="0" w:color="auto"/>
              <w:left w:val="dotted" w:sz="4" w:space="0" w:color="auto"/>
              <w:bottom w:val="dotted" w:sz="4" w:space="0" w:color="auto"/>
              <w:right w:val="dotted" w:sz="4" w:space="0" w:color="auto"/>
            </w:tcBorders>
            <w:shd w:val="clear" w:color="auto" w:fill="auto"/>
          </w:tcPr>
          <w:p w14:paraId="2F04F778" w14:textId="77777777" w:rsidR="004F64A5" w:rsidRPr="0048766D" w:rsidRDefault="004F64A5" w:rsidP="0048766D">
            <w:pPr>
              <w:spacing w:line="276" w:lineRule="auto"/>
              <w:rPr>
                <w:b/>
                <w:color w:val="373A3C"/>
              </w:rPr>
            </w:pPr>
            <w:r w:rsidRPr="0048766D">
              <w:rPr>
                <w:b/>
                <w:color w:val="373A3C"/>
              </w:rPr>
              <w:t>Type of Appointment:</w:t>
            </w:r>
          </w:p>
        </w:tc>
        <w:tc>
          <w:tcPr>
            <w:tcW w:w="3023" w:type="pct"/>
            <w:tcBorders>
              <w:top w:val="dotted" w:sz="4" w:space="0" w:color="auto"/>
              <w:left w:val="dotted" w:sz="4" w:space="0" w:color="auto"/>
              <w:bottom w:val="dotted" w:sz="4" w:space="0" w:color="auto"/>
              <w:right w:val="dotted" w:sz="4" w:space="0" w:color="auto"/>
            </w:tcBorders>
            <w:shd w:val="clear" w:color="auto" w:fill="auto"/>
          </w:tcPr>
          <w:p w14:paraId="6C967DFF" w14:textId="1F777AF9" w:rsidR="004F64A5" w:rsidRPr="0048766D" w:rsidRDefault="004F64A5" w:rsidP="0048766D">
            <w:pPr>
              <w:spacing w:line="276" w:lineRule="auto"/>
              <w:rPr>
                <w:bCs/>
                <w:color w:val="373A3C"/>
              </w:rPr>
            </w:pPr>
            <w:r w:rsidRPr="0048766D">
              <w:rPr>
                <w:bCs/>
                <w:color w:val="373A3C"/>
              </w:rPr>
              <w:t>Individual Consultant</w:t>
            </w:r>
          </w:p>
        </w:tc>
      </w:tr>
      <w:tr w:rsidR="004F64A5" w:rsidRPr="0048766D" w14:paraId="2A2DED8C" w14:textId="77777777" w:rsidTr="00B303C4">
        <w:tc>
          <w:tcPr>
            <w:tcW w:w="1977" w:type="pct"/>
            <w:shd w:val="clear" w:color="auto" w:fill="auto"/>
          </w:tcPr>
          <w:p w14:paraId="36D525ED" w14:textId="77777777" w:rsidR="004F64A5" w:rsidRPr="0048766D" w:rsidRDefault="004F64A5" w:rsidP="0048766D">
            <w:pPr>
              <w:spacing w:line="276" w:lineRule="auto"/>
              <w:rPr>
                <w:b/>
                <w:color w:val="373A3C"/>
              </w:rPr>
            </w:pPr>
            <w:r w:rsidRPr="0048766D">
              <w:rPr>
                <w:b/>
                <w:color w:val="373A3C"/>
              </w:rPr>
              <w:t>Reference No.:</w:t>
            </w:r>
          </w:p>
        </w:tc>
        <w:tc>
          <w:tcPr>
            <w:tcW w:w="3023" w:type="pct"/>
            <w:shd w:val="clear" w:color="auto" w:fill="auto"/>
          </w:tcPr>
          <w:p w14:paraId="2A1CB3E4" w14:textId="1F96458C" w:rsidR="004F64A5" w:rsidRPr="0048766D" w:rsidRDefault="004F64A5" w:rsidP="0048766D">
            <w:pPr>
              <w:spacing w:line="276" w:lineRule="auto"/>
              <w:rPr>
                <w:bCs/>
                <w:color w:val="373A3C"/>
                <w:highlight w:val="yellow"/>
              </w:rPr>
            </w:pPr>
            <w:r w:rsidRPr="0048766D">
              <w:rPr>
                <w:bCs/>
                <w:color w:val="373A3C"/>
              </w:rPr>
              <w:t>SO-</w:t>
            </w:r>
            <w:r w:rsidRPr="0048766D">
              <w:t xml:space="preserve"> </w:t>
            </w:r>
            <w:r w:rsidR="009B66CE" w:rsidRPr="0048766D">
              <w:rPr>
                <w:bCs/>
                <w:color w:val="373A3C"/>
              </w:rPr>
              <w:t>MOEWR -</w:t>
            </w:r>
            <w:r w:rsidR="009B1A77">
              <w:rPr>
                <w:bCs/>
                <w:color w:val="373A3C"/>
              </w:rPr>
              <w:t>437017</w:t>
            </w:r>
            <w:r w:rsidRPr="009B1A77">
              <w:rPr>
                <w:bCs/>
                <w:color w:val="373A3C"/>
              </w:rPr>
              <w:t>-INDV</w:t>
            </w:r>
          </w:p>
        </w:tc>
      </w:tr>
      <w:tr w:rsidR="004F64A5" w:rsidRPr="0048766D" w14:paraId="164C1C6E" w14:textId="77777777" w:rsidTr="00B303C4">
        <w:tc>
          <w:tcPr>
            <w:tcW w:w="1977" w:type="pct"/>
            <w:shd w:val="clear" w:color="auto" w:fill="auto"/>
          </w:tcPr>
          <w:p w14:paraId="3EFEE4C8" w14:textId="77777777" w:rsidR="004F64A5" w:rsidRPr="0048766D" w:rsidRDefault="004F64A5" w:rsidP="0048766D">
            <w:pPr>
              <w:spacing w:line="276" w:lineRule="auto"/>
              <w:rPr>
                <w:b/>
                <w:color w:val="373A3C"/>
              </w:rPr>
            </w:pPr>
            <w:r w:rsidRPr="0048766D">
              <w:rPr>
                <w:b/>
                <w:color w:val="373A3C"/>
              </w:rPr>
              <w:t>Place of Assignment:</w:t>
            </w:r>
          </w:p>
        </w:tc>
        <w:tc>
          <w:tcPr>
            <w:tcW w:w="3023" w:type="pct"/>
            <w:shd w:val="clear" w:color="auto" w:fill="auto"/>
          </w:tcPr>
          <w:p w14:paraId="539BAD17" w14:textId="77777777" w:rsidR="004F64A5" w:rsidRPr="0048766D" w:rsidRDefault="004F64A5" w:rsidP="0048766D">
            <w:pPr>
              <w:spacing w:line="276" w:lineRule="auto"/>
              <w:rPr>
                <w:bCs/>
                <w:color w:val="373A3C"/>
              </w:rPr>
            </w:pPr>
            <w:r w:rsidRPr="0048766D">
              <w:rPr>
                <w:bCs/>
                <w:color w:val="373A3C"/>
              </w:rPr>
              <w:t>Mogadishu, Somalia</w:t>
            </w:r>
          </w:p>
        </w:tc>
      </w:tr>
    </w:tbl>
    <w:p w14:paraId="45F5F589" w14:textId="5F125EE0" w:rsidR="00B60C5F" w:rsidRPr="0048766D" w:rsidRDefault="00B60C5F" w:rsidP="0048766D">
      <w:pPr>
        <w:pStyle w:val="Default"/>
        <w:spacing w:line="276" w:lineRule="auto"/>
        <w:jc w:val="both"/>
        <w:rPr>
          <w:rFonts w:ascii="Times New Roman" w:hAnsi="Times New Roman" w:cs="Times New Roman"/>
          <w:b/>
          <w:bCs/>
        </w:rPr>
      </w:pPr>
    </w:p>
    <w:p w14:paraId="3D6401C8" w14:textId="28C1344A" w:rsidR="009D5C60" w:rsidRPr="0048766D" w:rsidRDefault="009B4A95" w:rsidP="0048766D">
      <w:pPr>
        <w:numPr>
          <w:ilvl w:val="0"/>
          <w:numId w:val="1"/>
        </w:numPr>
        <w:spacing w:after="160" w:line="276" w:lineRule="auto"/>
        <w:jc w:val="both"/>
        <w:rPr>
          <w:b/>
          <w:bCs/>
          <w:color w:val="373A3C"/>
        </w:rPr>
      </w:pPr>
      <w:r w:rsidRPr="0048766D">
        <w:rPr>
          <w:b/>
          <w:bCs/>
          <w:color w:val="373A3C"/>
        </w:rPr>
        <w:t>Background</w:t>
      </w:r>
      <w:r w:rsidR="00265F66" w:rsidRPr="0048766D">
        <w:rPr>
          <w:b/>
          <w:bCs/>
          <w:color w:val="373A3C"/>
        </w:rPr>
        <w:t xml:space="preserve">: </w:t>
      </w:r>
    </w:p>
    <w:p w14:paraId="3DF9711C" w14:textId="6BFD5F01" w:rsidR="0087570E" w:rsidRDefault="0091794E" w:rsidP="00620529">
      <w:pPr>
        <w:spacing w:after="120" w:line="276" w:lineRule="auto"/>
        <w:jc w:val="both"/>
      </w:pPr>
      <w:r w:rsidRPr="0048766D">
        <w:rPr>
          <w:rFonts w:eastAsia="Times New Roman"/>
          <w:color w:val="000000" w:themeColor="text1"/>
        </w:rPr>
        <w:t xml:space="preserve">The </w:t>
      </w:r>
      <w:r w:rsidRPr="0048766D">
        <w:rPr>
          <w:rFonts w:eastAsia="Times New Roman"/>
        </w:rPr>
        <w:t>Federal Government of Somalia</w:t>
      </w:r>
      <w:r w:rsidRPr="0048766D">
        <w:rPr>
          <w:rFonts w:eastAsia="Times New Roman"/>
          <w:color w:val="000000" w:themeColor="text1"/>
        </w:rPr>
        <w:t xml:space="preserve"> (</w:t>
      </w:r>
      <w:r w:rsidR="00620529">
        <w:rPr>
          <w:rFonts w:eastAsia="Times New Roman"/>
          <w:color w:val="000000" w:themeColor="text1"/>
        </w:rPr>
        <w:t>FGS</w:t>
      </w:r>
      <w:r w:rsidRPr="0048766D">
        <w:rPr>
          <w:rFonts w:eastAsia="Times New Roman"/>
          <w:color w:val="000000" w:themeColor="text1"/>
        </w:rPr>
        <w:t xml:space="preserve">) has </w:t>
      </w:r>
      <w:r w:rsidR="00D74536">
        <w:rPr>
          <w:rFonts w:eastAsia="Times New Roman"/>
          <w:color w:val="000000" w:themeColor="text1"/>
        </w:rPr>
        <w:t>received</w:t>
      </w:r>
      <w:r w:rsidR="00620529" w:rsidRPr="0048766D">
        <w:rPr>
          <w:rFonts w:eastAsia="Times New Roman"/>
          <w:color w:val="000000" w:themeColor="text1"/>
        </w:rPr>
        <w:t xml:space="preserve"> </w:t>
      </w:r>
      <w:r w:rsidRPr="0048766D">
        <w:rPr>
          <w:rFonts w:eastAsia="Times New Roman"/>
          <w:color w:val="000000" w:themeColor="text1"/>
        </w:rPr>
        <w:t>a grant from The World Bank to implement the Somali E</w:t>
      </w:r>
      <w:r w:rsidR="00D21754">
        <w:rPr>
          <w:rFonts w:eastAsia="Times New Roman"/>
          <w:color w:val="000000" w:themeColor="text1"/>
        </w:rPr>
        <w:t>lectricity</w:t>
      </w:r>
      <w:r w:rsidRPr="0048766D">
        <w:rPr>
          <w:rFonts w:eastAsia="Times New Roman"/>
          <w:color w:val="000000" w:themeColor="text1"/>
        </w:rPr>
        <w:t xml:space="preserve"> Sector Recovery Project (SESRP). </w:t>
      </w:r>
      <w:r w:rsidRPr="0048766D">
        <w:rPr>
          <w:rFonts w:eastAsia="Times New Roman"/>
          <w:color w:val="000000" w:themeColor="text1"/>
          <w:lang w:eastAsia="en-GB"/>
        </w:rPr>
        <w:t>The Project Development Objective is to increase access</w:t>
      </w:r>
      <w:r w:rsidRPr="0048766D">
        <w:rPr>
          <w:rFonts w:eastAsia="Times New Roman"/>
          <w:color w:val="000000" w:themeColor="text1"/>
        </w:rPr>
        <w:t xml:space="preserve"> </w:t>
      </w:r>
      <w:r w:rsidR="00D21754" w:rsidRPr="00D21754">
        <w:rPr>
          <w:rFonts w:eastAsia="Times New Roman"/>
          <w:color w:val="000000" w:themeColor="text1"/>
        </w:rPr>
        <w:t xml:space="preserve">to lower cost and cleaner electricity supply in the project areas and to reestablish the electricity supply </w:t>
      </w:r>
      <w:r w:rsidR="000F47E0" w:rsidRPr="00D21754">
        <w:rPr>
          <w:rFonts w:eastAsia="Times New Roman"/>
          <w:color w:val="000000" w:themeColor="text1"/>
        </w:rPr>
        <w:t>industry</w:t>
      </w:r>
      <w:r w:rsidR="00620529">
        <w:rPr>
          <w:rFonts w:eastAsia="Times New Roman"/>
          <w:color w:val="000000" w:themeColor="text1"/>
        </w:rPr>
        <w:t>.</w:t>
      </w:r>
    </w:p>
    <w:p w14:paraId="3F45E5DD" w14:textId="5A6623CD" w:rsidR="00620529" w:rsidRDefault="009509FB" w:rsidP="009509FB">
      <w:pPr>
        <w:spacing w:after="120"/>
        <w:contextualSpacing/>
        <w:jc w:val="both"/>
      </w:pPr>
      <w:r w:rsidRPr="009509FB">
        <w:t>As part of the re-establishment of the Electricity Supply Industry (ESI)</w:t>
      </w:r>
      <w:r w:rsidR="002C1A6F">
        <w:t>,</w:t>
      </w:r>
      <w:r w:rsidRPr="009509FB">
        <w:t xml:space="preserve"> the FGS has recently enacted Electricity Law and established the National Electricity Authority (NEA). The NEA key mandate is to regulate the electricity sector. In this regard, the MoEWR seeks to apply part of the proceeds of the SERP project to recruit a </w:t>
      </w:r>
      <w:r w:rsidR="002C1A6F">
        <w:t>Technical Regulation</w:t>
      </w:r>
      <w:r w:rsidRPr="009509FB">
        <w:t xml:space="preserve"> Advisor to support NEA undertake </w:t>
      </w:r>
      <w:r w:rsidR="002C1A6F">
        <w:t>technical</w:t>
      </w:r>
      <w:r w:rsidRPr="009509FB">
        <w:t xml:space="preserve"> regulation activities towards the operationalization and implementation of an effective regulatory framework</w:t>
      </w:r>
      <w:r w:rsidR="002C1A6F">
        <w:t>.</w:t>
      </w:r>
    </w:p>
    <w:p w14:paraId="6AA5250A" w14:textId="77777777" w:rsidR="002C1A6F" w:rsidRPr="0048766D" w:rsidRDefault="002C1A6F" w:rsidP="00D74536">
      <w:pPr>
        <w:spacing w:after="120"/>
        <w:contextualSpacing/>
        <w:jc w:val="both"/>
      </w:pPr>
    </w:p>
    <w:p w14:paraId="72751E9F" w14:textId="3615E631" w:rsidR="009B4A95" w:rsidRPr="0048766D" w:rsidRDefault="0091794E" w:rsidP="0048766D">
      <w:pPr>
        <w:numPr>
          <w:ilvl w:val="0"/>
          <w:numId w:val="1"/>
        </w:numPr>
        <w:spacing w:after="160" w:line="276" w:lineRule="auto"/>
        <w:jc w:val="both"/>
        <w:rPr>
          <w:b/>
          <w:bCs/>
        </w:rPr>
      </w:pPr>
      <w:r w:rsidRPr="0048766D">
        <w:rPr>
          <w:b/>
          <w:bCs/>
        </w:rPr>
        <w:t xml:space="preserve">Objective of the Assignment     </w:t>
      </w:r>
    </w:p>
    <w:p w14:paraId="2F65D7F4" w14:textId="77777777" w:rsidR="0097237D" w:rsidRDefault="0091794E" w:rsidP="000144D9">
      <w:pPr>
        <w:spacing w:after="120" w:line="276" w:lineRule="auto"/>
        <w:jc w:val="both"/>
        <w:rPr>
          <w:rFonts w:eastAsia="Times New Roman"/>
        </w:rPr>
      </w:pPr>
      <w:r w:rsidRPr="0048766D">
        <w:rPr>
          <w:bCs/>
          <w:color w:val="000000" w:themeColor="text1"/>
        </w:rPr>
        <w:t xml:space="preserve">To support the </w:t>
      </w:r>
      <w:r w:rsidR="00375D94">
        <w:rPr>
          <w:bCs/>
          <w:color w:val="000000" w:themeColor="text1"/>
        </w:rPr>
        <w:t xml:space="preserve">NEA </w:t>
      </w:r>
      <w:r w:rsidRPr="0048766D">
        <w:rPr>
          <w:bCs/>
          <w:color w:val="000000" w:themeColor="text1"/>
        </w:rPr>
        <w:t xml:space="preserve">in developing and </w:t>
      </w:r>
      <w:r w:rsidR="00CF1700">
        <w:rPr>
          <w:bCs/>
          <w:color w:val="000000" w:themeColor="text1"/>
        </w:rPr>
        <w:t>establish</w:t>
      </w:r>
      <w:r w:rsidR="00386A2B">
        <w:rPr>
          <w:bCs/>
          <w:color w:val="000000" w:themeColor="text1"/>
        </w:rPr>
        <w:t>ing</w:t>
      </w:r>
      <w:r w:rsidR="00CF1700" w:rsidRPr="0048766D">
        <w:rPr>
          <w:bCs/>
          <w:color w:val="000000" w:themeColor="text1"/>
        </w:rPr>
        <w:t xml:space="preserve"> </w:t>
      </w:r>
      <w:r w:rsidRPr="0048766D">
        <w:rPr>
          <w:bCs/>
          <w:color w:val="000000" w:themeColor="text1"/>
        </w:rPr>
        <w:t xml:space="preserve">an effective Regulatory </w:t>
      </w:r>
      <w:r w:rsidR="000F47E0" w:rsidRPr="0048766D">
        <w:rPr>
          <w:bCs/>
          <w:color w:val="000000" w:themeColor="text1"/>
        </w:rPr>
        <w:t>framework</w:t>
      </w:r>
      <w:r w:rsidR="00D61679" w:rsidRPr="0048766D">
        <w:rPr>
          <w:rFonts w:eastAsia="Times New Roman"/>
        </w:rPr>
        <w:t>.</w:t>
      </w:r>
    </w:p>
    <w:p w14:paraId="755BA1C1" w14:textId="3E4759B0" w:rsidR="0097237D" w:rsidRPr="00D74536" w:rsidRDefault="0097237D" w:rsidP="00D74536">
      <w:pPr>
        <w:pStyle w:val="ListParagraph"/>
        <w:numPr>
          <w:ilvl w:val="0"/>
          <w:numId w:val="9"/>
        </w:numPr>
        <w:spacing w:after="120" w:line="240" w:lineRule="auto"/>
        <w:contextualSpacing/>
        <w:jc w:val="both"/>
        <w:rPr>
          <w:rFonts w:eastAsia="Times New Roman"/>
        </w:rPr>
      </w:pPr>
      <w:r w:rsidRPr="00D74536">
        <w:rPr>
          <w:rFonts w:eastAsia="Times New Roman"/>
        </w:rPr>
        <w:t xml:space="preserve">To support the </w:t>
      </w:r>
      <w:r w:rsidR="00D74536" w:rsidRPr="00D74536">
        <w:rPr>
          <w:rFonts w:eastAsia="Times New Roman"/>
        </w:rPr>
        <w:t>sector,</w:t>
      </w:r>
      <w:r w:rsidRPr="00D74536">
        <w:rPr>
          <w:rFonts w:eastAsia="Times New Roman"/>
        </w:rPr>
        <w:t xml:space="preserve"> developing an effective Engineering and Regulatory framework to support the sector achieve technical efficiency and effective service delivery. This includes but is not limited </w:t>
      </w:r>
      <w:r w:rsidR="00D74536" w:rsidRPr="00D74536">
        <w:rPr>
          <w:rFonts w:eastAsia="Times New Roman"/>
        </w:rPr>
        <w:t>to.</w:t>
      </w:r>
    </w:p>
    <w:p w14:paraId="455A9A34" w14:textId="0D003777" w:rsidR="0097237D" w:rsidRPr="00D74536" w:rsidRDefault="0097237D" w:rsidP="00D74536">
      <w:pPr>
        <w:pStyle w:val="ListParagraph"/>
        <w:numPr>
          <w:ilvl w:val="0"/>
          <w:numId w:val="9"/>
        </w:numPr>
        <w:spacing w:after="120" w:line="240" w:lineRule="auto"/>
        <w:contextualSpacing/>
        <w:jc w:val="both"/>
        <w:rPr>
          <w:rFonts w:eastAsia="Times New Roman"/>
        </w:rPr>
      </w:pPr>
      <w:r w:rsidRPr="00D74536">
        <w:rPr>
          <w:rFonts w:eastAsia="Times New Roman"/>
        </w:rPr>
        <w:t xml:space="preserve">Supporting the </w:t>
      </w:r>
      <w:r w:rsidR="006D5C5C">
        <w:rPr>
          <w:rFonts w:eastAsia="Times New Roman"/>
        </w:rPr>
        <w:t>Authority</w:t>
      </w:r>
      <w:r w:rsidRPr="00D74536">
        <w:rPr>
          <w:rFonts w:eastAsia="Times New Roman"/>
        </w:rPr>
        <w:t xml:space="preserve"> in putting in place the relevant technical standards for the generation, transmission, distribution, and retail of electricity.</w:t>
      </w:r>
    </w:p>
    <w:p w14:paraId="76FC0A58" w14:textId="5A67F24D" w:rsidR="0097237D" w:rsidRPr="00D74536" w:rsidRDefault="0097237D" w:rsidP="00D74536">
      <w:pPr>
        <w:pStyle w:val="ListParagraph"/>
        <w:numPr>
          <w:ilvl w:val="0"/>
          <w:numId w:val="9"/>
        </w:numPr>
        <w:spacing w:after="120" w:line="240" w:lineRule="auto"/>
        <w:contextualSpacing/>
        <w:jc w:val="both"/>
        <w:rPr>
          <w:rFonts w:eastAsia="Times New Roman"/>
        </w:rPr>
      </w:pPr>
      <w:r w:rsidRPr="00D74536">
        <w:rPr>
          <w:rFonts w:eastAsia="Times New Roman"/>
        </w:rPr>
        <w:t>Drafting and reviewing technical regulations to guide the operations of ESPs and other industry players.</w:t>
      </w:r>
    </w:p>
    <w:p w14:paraId="6F360929" w14:textId="139D11F7" w:rsidR="0097237D" w:rsidRPr="00D74536" w:rsidRDefault="0097237D" w:rsidP="00D74536">
      <w:pPr>
        <w:pStyle w:val="ListParagraph"/>
        <w:numPr>
          <w:ilvl w:val="0"/>
          <w:numId w:val="9"/>
        </w:numPr>
        <w:spacing w:after="120" w:line="240" w:lineRule="auto"/>
        <w:contextualSpacing/>
        <w:jc w:val="both"/>
        <w:rPr>
          <w:rFonts w:eastAsia="Times New Roman"/>
        </w:rPr>
      </w:pPr>
      <w:r w:rsidRPr="00D74536">
        <w:rPr>
          <w:rFonts w:eastAsia="Times New Roman"/>
        </w:rPr>
        <w:t xml:space="preserve">Monitor and continuously review the compliance of existing ESPs and New Projects for enhanced efficiency in sector performance and service expansion to end-users. </w:t>
      </w:r>
    </w:p>
    <w:p w14:paraId="25730244" w14:textId="20CDA70A" w:rsidR="0097237D" w:rsidRPr="00D74536" w:rsidRDefault="0097237D" w:rsidP="00D74536">
      <w:pPr>
        <w:pStyle w:val="ListParagraph"/>
        <w:numPr>
          <w:ilvl w:val="0"/>
          <w:numId w:val="9"/>
        </w:numPr>
        <w:spacing w:after="120" w:line="240" w:lineRule="auto"/>
        <w:contextualSpacing/>
        <w:jc w:val="both"/>
        <w:rPr>
          <w:rFonts w:eastAsia="Times New Roman"/>
        </w:rPr>
      </w:pPr>
      <w:r w:rsidRPr="00D74536">
        <w:rPr>
          <w:rFonts w:eastAsia="Times New Roman"/>
        </w:rPr>
        <w:t>Mentor and coach other staff to improve human capacity.</w:t>
      </w:r>
    </w:p>
    <w:p w14:paraId="10949A39" w14:textId="5CEC7908" w:rsidR="00635AFD" w:rsidRPr="00D74536" w:rsidRDefault="0097237D" w:rsidP="00D74536">
      <w:pPr>
        <w:pStyle w:val="ListParagraph"/>
        <w:numPr>
          <w:ilvl w:val="0"/>
          <w:numId w:val="9"/>
        </w:numPr>
        <w:spacing w:after="120" w:line="240" w:lineRule="auto"/>
        <w:contextualSpacing/>
        <w:jc w:val="both"/>
        <w:rPr>
          <w:rFonts w:eastAsia="Times New Roman"/>
        </w:rPr>
      </w:pPr>
      <w:r w:rsidRPr="00D74536">
        <w:rPr>
          <w:rFonts w:eastAsia="Times New Roman"/>
        </w:rPr>
        <w:t>Promoting projects that bring to the ESI renewable energy technologies to ensure sustainability.</w:t>
      </w:r>
      <w:r w:rsidR="00D61679" w:rsidRPr="00D74536">
        <w:rPr>
          <w:rFonts w:eastAsia="Times New Roman"/>
        </w:rPr>
        <w:t xml:space="preserve"> </w:t>
      </w:r>
    </w:p>
    <w:p w14:paraId="5E9A5CDE" w14:textId="77777777" w:rsidR="0097237D" w:rsidRPr="000144D9" w:rsidRDefault="0097237D" w:rsidP="00D74536">
      <w:pPr>
        <w:spacing w:after="120"/>
        <w:contextualSpacing/>
        <w:jc w:val="both"/>
        <w:rPr>
          <w:rFonts w:eastAsia="Times New Roman"/>
        </w:rPr>
      </w:pPr>
    </w:p>
    <w:p w14:paraId="393E3F00" w14:textId="3C57203D" w:rsidR="009B4A95" w:rsidRPr="0048766D" w:rsidRDefault="005A015A" w:rsidP="0048766D">
      <w:pPr>
        <w:numPr>
          <w:ilvl w:val="0"/>
          <w:numId w:val="1"/>
        </w:numPr>
        <w:spacing w:after="160" w:line="276" w:lineRule="auto"/>
        <w:jc w:val="both"/>
        <w:rPr>
          <w:b/>
          <w:bCs/>
        </w:rPr>
      </w:pPr>
      <w:r w:rsidRPr="0048766D">
        <w:rPr>
          <w:b/>
          <w:bCs/>
        </w:rPr>
        <w:lastRenderedPageBreak/>
        <w:t xml:space="preserve">Scope of Work </w:t>
      </w:r>
      <w:r w:rsidR="0091794E" w:rsidRPr="0048766D">
        <w:rPr>
          <w:b/>
          <w:bCs/>
        </w:rPr>
        <w:t xml:space="preserve">     </w:t>
      </w:r>
      <w:r w:rsidR="008A6663" w:rsidRPr="0048766D">
        <w:rPr>
          <w:b/>
          <w:bCs/>
        </w:rPr>
        <w:t xml:space="preserve"> </w:t>
      </w:r>
    </w:p>
    <w:p w14:paraId="2FC7B6F7" w14:textId="57B13A11" w:rsidR="0091794E" w:rsidRPr="0048766D" w:rsidRDefault="0091794E" w:rsidP="0048766D">
      <w:pPr>
        <w:tabs>
          <w:tab w:val="left" w:pos="540"/>
        </w:tabs>
        <w:spacing w:after="120" w:line="276" w:lineRule="auto"/>
        <w:jc w:val="both"/>
        <w:rPr>
          <w:rFonts w:eastAsia="Times New Roman"/>
        </w:rPr>
      </w:pPr>
      <w:r w:rsidRPr="0048766D">
        <w:rPr>
          <w:rFonts w:eastAsia="Times New Roman"/>
        </w:rPr>
        <w:t xml:space="preserve">The key responsibilities under this assignment </w:t>
      </w:r>
      <w:r w:rsidR="000A0621" w:rsidRPr="0048766D">
        <w:rPr>
          <w:rFonts w:eastAsia="Times New Roman"/>
        </w:rPr>
        <w:t xml:space="preserve">for </w:t>
      </w:r>
      <w:r w:rsidRPr="0048766D">
        <w:rPr>
          <w:color w:val="373A3C"/>
        </w:rPr>
        <w:t>Technical Regulation Advisor</w:t>
      </w:r>
      <w:r w:rsidRPr="0048766D">
        <w:rPr>
          <w:rFonts w:eastAsia="Times New Roman"/>
        </w:rPr>
        <w:t xml:space="preserve"> </w:t>
      </w:r>
      <w:r w:rsidR="006F199F">
        <w:rPr>
          <w:rFonts w:eastAsia="Times New Roman"/>
        </w:rPr>
        <w:t xml:space="preserve">shall </w:t>
      </w:r>
      <w:r w:rsidR="000A0621" w:rsidRPr="0048766D">
        <w:rPr>
          <w:rFonts w:eastAsia="Times New Roman"/>
        </w:rPr>
        <w:t>include</w:t>
      </w:r>
      <w:r w:rsidR="006F199F">
        <w:rPr>
          <w:rFonts w:eastAsia="Times New Roman"/>
        </w:rPr>
        <w:t>, but not limited</w:t>
      </w:r>
      <w:r w:rsidR="009F57B3">
        <w:rPr>
          <w:rFonts w:eastAsia="Times New Roman"/>
        </w:rPr>
        <w:t>, to the following:</w:t>
      </w:r>
      <w:r w:rsidR="000A0621" w:rsidRPr="0048766D">
        <w:rPr>
          <w:rFonts w:eastAsia="Times New Roman"/>
        </w:rPr>
        <w:t xml:space="preserve"> -</w:t>
      </w:r>
    </w:p>
    <w:p w14:paraId="372DF02F" w14:textId="05BDF9C9" w:rsidR="00BD2B40" w:rsidRPr="005442C4" w:rsidRDefault="00BD2B40" w:rsidP="00D74536">
      <w:pPr>
        <w:pStyle w:val="ListParagraph"/>
        <w:numPr>
          <w:ilvl w:val="0"/>
          <w:numId w:val="10"/>
        </w:numPr>
        <w:tabs>
          <w:tab w:val="left" w:pos="540"/>
        </w:tabs>
        <w:spacing w:after="120" w:line="240" w:lineRule="auto"/>
        <w:ind w:left="1440" w:hanging="720"/>
        <w:contextualSpacing/>
        <w:jc w:val="both"/>
        <w:rPr>
          <w:bCs/>
        </w:rPr>
      </w:pPr>
      <w:r w:rsidRPr="005442C4">
        <w:rPr>
          <w:bCs/>
        </w:rPr>
        <w:t xml:space="preserve">Support </w:t>
      </w:r>
      <w:r w:rsidR="005442C4">
        <w:rPr>
          <w:bCs/>
        </w:rPr>
        <w:t>NEA</w:t>
      </w:r>
      <w:r w:rsidRPr="005442C4">
        <w:rPr>
          <w:bCs/>
        </w:rPr>
        <w:t xml:space="preserve"> in the development of technical regulations and guidelines</w:t>
      </w:r>
      <w:r w:rsidR="00CB2FCD">
        <w:rPr>
          <w:bCs/>
        </w:rPr>
        <w:t>/codes</w:t>
      </w:r>
      <w:r w:rsidRPr="005442C4">
        <w:rPr>
          <w:bCs/>
        </w:rPr>
        <w:t xml:space="preserve"> in line with the provisions of the Electricity Act</w:t>
      </w:r>
    </w:p>
    <w:p w14:paraId="786418CE" w14:textId="7C831204" w:rsidR="00BD2B40" w:rsidRPr="005442C4" w:rsidRDefault="00BD2B40" w:rsidP="00D74536">
      <w:pPr>
        <w:pStyle w:val="ListParagraph"/>
        <w:numPr>
          <w:ilvl w:val="0"/>
          <w:numId w:val="10"/>
        </w:numPr>
        <w:tabs>
          <w:tab w:val="left" w:pos="540"/>
        </w:tabs>
        <w:spacing w:after="120" w:line="240" w:lineRule="auto"/>
        <w:ind w:left="1440" w:hanging="720"/>
        <w:contextualSpacing/>
        <w:jc w:val="both"/>
        <w:rPr>
          <w:bCs/>
        </w:rPr>
      </w:pPr>
      <w:r w:rsidRPr="005442C4">
        <w:rPr>
          <w:bCs/>
        </w:rPr>
        <w:t xml:space="preserve">Review license applications for compliance with technical and other engineering standards and regulations and make appropriate recommendations to the </w:t>
      </w:r>
      <w:r w:rsidR="005442C4">
        <w:rPr>
          <w:bCs/>
        </w:rPr>
        <w:t>Authority</w:t>
      </w:r>
      <w:r w:rsidRPr="005442C4">
        <w:rPr>
          <w:bCs/>
        </w:rPr>
        <w:t>.</w:t>
      </w:r>
    </w:p>
    <w:p w14:paraId="33189FF5" w14:textId="77777777" w:rsidR="00BD2B40" w:rsidRPr="005442C4" w:rsidRDefault="00BD2B40" w:rsidP="00D74536">
      <w:pPr>
        <w:pStyle w:val="ListParagraph"/>
        <w:numPr>
          <w:ilvl w:val="0"/>
          <w:numId w:val="10"/>
        </w:numPr>
        <w:tabs>
          <w:tab w:val="left" w:pos="540"/>
        </w:tabs>
        <w:spacing w:after="120" w:line="240" w:lineRule="auto"/>
        <w:ind w:left="1440" w:hanging="720"/>
        <w:contextualSpacing/>
        <w:jc w:val="both"/>
        <w:rPr>
          <w:bCs/>
        </w:rPr>
      </w:pPr>
      <w:r w:rsidRPr="005442C4">
        <w:rPr>
          <w:bCs/>
        </w:rPr>
        <w:t>Participate in the development of work plans &amp; budgets for the technical department.</w:t>
      </w:r>
    </w:p>
    <w:p w14:paraId="52BD3D10" w14:textId="491BFA54" w:rsidR="00BD2B40" w:rsidRPr="005442C4" w:rsidRDefault="00BD2B40" w:rsidP="00D74536">
      <w:pPr>
        <w:pStyle w:val="ListParagraph"/>
        <w:numPr>
          <w:ilvl w:val="0"/>
          <w:numId w:val="10"/>
        </w:numPr>
        <w:tabs>
          <w:tab w:val="left" w:pos="540"/>
        </w:tabs>
        <w:spacing w:after="120" w:line="240" w:lineRule="auto"/>
        <w:ind w:left="1440" w:hanging="720"/>
        <w:contextualSpacing/>
        <w:jc w:val="both"/>
        <w:rPr>
          <w:bCs/>
        </w:rPr>
      </w:pPr>
      <w:r w:rsidRPr="005442C4">
        <w:rPr>
          <w:bCs/>
        </w:rPr>
        <w:t xml:space="preserve">Supervision of the implementation of new projects/ investment and compliance </w:t>
      </w:r>
      <w:r w:rsidR="005442C4" w:rsidRPr="005442C4">
        <w:rPr>
          <w:bCs/>
        </w:rPr>
        <w:t>programs</w:t>
      </w:r>
      <w:r w:rsidRPr="005442C4">
        <w:rPr>
          <w:bCs/>
        </w:rPr>
        <w:t xml:space="preserve"> for licensees.</w:t>
      </w:r>
    </w:p>
    <w:p w14:paraId="40DC7E75" w14:textId="77777777" w:rsidR="00BD2B40" w:rsidRPr="005442C4" w:rsidRDefault="00BD2B40" w:rsidP="00D74536">
      <w:pPr>
        <w:pStyle w:val="ListParagraph"/>
        <w:numPr>
          <w:ilvl w:val="0"/>
          <w:numId w:val="10"/>
        </w:numPr>
        <w:tabs>
          <w:tab w:val="left" w:pos="540"/>
        </w:tabs>
        <w:spacing w:after="120" w:line="240" w:lineRule="auto"/>
        <w:ind w:left="1440" w:hanging="720"/>
        <w:contextualSpacing/>
        <w:jc w:val="both"/>
        <w:rPr>
          <w:bCs/>
        </w:rPr>
      </w:pPr>
      <w:r w:rsidRPr="005442C4">
        <w:rPr>
          <w:bCs/>
        </w:rPr>
        <w:t>Undertake sector stakeholder sensitization and education on technical compliance matters.</w:t>
      </w:r>
    </w:p>
    <w:p w14:paraId="1B038963" w14:textId="082BC4D0" w:rsidR="00BD2B40" w:rsidRPr="005442C4" w:rsidRDefault="00BD2B40" w:rsidP="00D74536">
      <w:pPr>
        <w:pStyle w:val="ListParagraph"/>
        <w:numPr>
          <w:ilvl w:val="0"/>
          <w:numId w:val="10"/>
        </w:numPr>
        <w:tabs>
          <w:tab w:val="left" w:pos="540"/>
        </w:tabs>
        <w:spacing w:after="120" w:line="240" w:lineRule="auto"/>
        <w:ind w:left="1440" w:hanging="720"/>
        <w:contextualSpacing/>
        <w:jc w:val="both"/>
        <w:rPr>
          <w:bCs/>
        </w:rPr>
      </w:pPr>
      <w:r w:rsidRPr="005442C4">
        <w:rPr>
          <w:bCs/>
        </w:rPr>
        <w:t xml:space="preserve">Review technical applications </w:t>
      </w:r>
      <w:r w:rsidR="00283F4A">
        <w:rPr>
          <w:bCs/>
        </w:rPr>
        <w:t>for</w:t>
      </w:r>
      <w:r w:rsidRPr="005442C4">
        <w:rPr>
          <w:bCs/>
        </w:rPr>
        <w:t xml:space="preserve"> licensees.</w:t>
      </w:r>
    </w:p>
    <w:p w14:paraId="71BA5D80" w14:textId="77777777" w:rsidR="00BD2B40" w:rsidRPr="005442C4" w:rsidRDefault="00BD2B40" w:rsidP="00D74536">
      <w:pPr>
        <w:pStyle w:val="ListParagraph"/>
        <w:numPr>
          <w:ilvl w:val="0"/>
          <w:numId w:val="10"/>
        </w:numPr>
        <w:tabs>
          <w:tab w:val="left" w:pos="540"/>
        </w:tabs>
        <w:spacing w:after="120" w:line="240" w:lineRule="auto"/>
        <w:ind w:left="1440" w:hanging="720"/>
        <w:contextualSpacing/>
        <w:jc w:val="both"/>
        <w:rPr>
          <w:bCs/>
        </w:rPr>
      </w:pPr>
      <w:r w:rsidRPr="005442C4">
        <w:rPr>
          <w:bCs/>
        </w:rPr>
        <w:t>Liaise with investors on new projects and monitor implementation progress.</w:t>
      </w:r>
    </w:p>
    <w:p w14:paraId="15A1DCBB" w14:textId="2D25FF84" w:rsidR="00BD2B40" w:rsidRPr="005442C4" w:rsidRDefault="00BD2B40" w:rsidP="00D74536">
      <w:pPr>
        <w:pStyle w:val="ListParagraph"/>
        <w:numPr>
          <w:ilvl w:val="0"/>
          <w:numId w:val="10"/>
        </w:numPr>
        <w:tabs>
          <w:tab w:val="left" w:pos="540"/>
        </w:tabs>
        <w:spacing w:after="120" w:line="240" w:lineRule="auto"/>
        <w:ind w:left="1440" w:hanging="720"/>
        <w:contextualSpacing/>
        <w:jc w:val="both"/>
        <w:rPr>
          <w:bCs/>
        </w:rPr>
      </w:pPr>
      <w:r w:rsidRPr="005442C4">
        <w:rPr>
          <w:bCs/>
        </w:rPr>
        <w:t xml:space="preserve">Advise </w:t>
      </w:r>
      <w:r w:rsidR="00283F4A">
        <w:rPr>
          <w:bCs/>
        </w:rPr>
        <w:t>the authority</w:t>
      </w:r>
      <w:r w:rsidRPr="005442C4">
        <w:rPr>
          <w:bCs/>
        </w:rPr>
        <w:t xml:space="preserve"> on demand, supply, and quality of supply and quality of service aspects of the licensees.</w:t>
      </w:r>
    </w:p>
    <w:p w14:paraId="7D9DB4B1" w14:textId="42A63685" w:rsidR="00BD2B40" w:rsidRPr="005442C4" w:rsidRDefault="00BD2B40" w:rsidP="00D74536">
      <w:pPr>
        <w:pStyle w:val="ListParagraph"/>
        <w:numPr>
          <w:ilvl w:val="0"/>
          <w:numId w:val="10"/>
        </w:numPr>
        <w:tabs>
          <w:tab w:val="left" w:pos="540"/>
        </w:tabs>
        <w:spacing w:after="120" w:line="240" w:lineRule="auto"/>
        <w:ind w:left="1440" w:hanging="720"/>
        <w:contextualSpacing/>
        <w:jc w:val="both"/>
        <w:rPr>
          <w:bCs/>
        </w:rPr>
      </w:pPr>
      <w:r w:rsidRPr="005442C4">
        <w:rPr>
          <w:bCs/>
        </w:rPr>
        <w:t>Maintain an up-to-date database and benchmarks to enhance compliance.</w:t>
      </w:r>
    </w:p>
    <w:p w14:paraId="79EE0B79" w14:textId="37245BE8" w:rsidR="00BD2B40" w:rsidRPr="005442C4" w:rsidRDefault="00BD2B40" w:rsidP="00D74536">
      <w:pPr>
        <w:pStyle w:val="ListParagraph"/>
        <w:numPr>
          <w:ilvl w:val="0"/>
          <w:numId w:val="10"/>
        </w:numPr>
        <w:tabs>
          <w:tab w:val="left" w:pos="540"/>
        </w:tabs>
        <w:spacing w:after="120" w:line="240" w:lineRule="auto"/>
        <w:ind w:left="1440" w:hanging="720"/>
        <w:contextualSpacing/>
        <w:jc w:val="both"/>
        <w:rPr>
          <w:bCs/>
        </w:rPr>
      </w:pPr>
      <w:r w:rsidRPr="005442C4">
        <w:rPr>
          <w:bCs/>
        </w:rPr>
        <w:t xml:space="preserve">Work in liaison with the </w:t>
      </w:r>
      <w:r w:rsidR="00B03D6A">
        <w:rPr>
          <w:bCs/>
        </w:rPr>
        <w:t>Authority</w:t>
      </w:r>
      <w:r w:rsidRPr="005442C4">
        <w:rPr>
          <w:bCs/>
        </w:rPr>
        <w:t xml:space="preserve"> </w:t>
      </w:r>
      <w:r w:rsidR="00992EB3">
        <w:rPr>
          <w:bCs/>
        </w:rPr>
        <w:t>in</w:t>
      </w:r>
      <w:r w:rsidRPr="005442C4">
        <w:rPr>
          <w:bCs/>
        </w:rPr>
        <w:t xml:space="preserve"> setting up an internal cross-functional licensing and compliance procedure</w:t>
      </w:r>
      <w:r w:rsidR="00992EB3">
        <w:rPr>
          <w:bCs/>
        </w:rPr>
        <w:t>s</w:t>
      </w:r>
      <w:r w:rsidRPr="005442C4">
        <w:rPr>
          <w:bCs/>
        </w:rPr>
        <w:t xml:space="preserve"> for effective regulatory oversight.</w:t>
      </w:r>
    </w:p>
    <w:p w14:paraId="2EEE5613" w14:textId="1BB6E2F4" w:rsidR="00BD2B40" w:rsidRPr="005442C4" w:rsidRDefault="005442C4" w:rsidP="00D74536">
      <w:pPr>
        <w:pStyle w:val="ListParagraph"/>
        <w:numPr>
          <w:ilvl w:val="0"/>
          <w:numId w:val="10"/>
        </w:numPr>
        <w:tabs>
          <w:tab w:val="left" w:pos="540"/>
        </w:tabs>
        <w:spacing w:after="120" w:line="240" w:lineRule="auto"/>
        <w:ind w:left="1440" w:hanging="720"/>
        <w:contextualSpacing/>
        <w:jc w:val="both"/>
        <w:rPr>
          <w:bCs/>
        </w:rPr>
      </w:pPr>
      <w:r w:rsidRPr="005442C4">
        <w:rPr>
          <w:bCs/>
        </w:rPr>
        <w:t xml:space="preserve">Any other assignment as </w:t>
      </w:r>
      <w:r w:rsidR="00A10B4F" w:rsidRPr="005442C4">
        <w:rPr>
          <w:bCs/>
        </w:rPr>
        <w:t>may be</w:t>
      </w:r>
      <w:r w:rsidRPr="005442C4">
        <w:rPr>
          <w:bCs/>
        </w:rPr>
        <w:t xml:space="preserve"> requested by the Authority</w:t>
      </w:r>
      <w:r w:rsidR="00992EB3">
        <w:rPr>
          <w:bCs/>
        </w:rPr>
        <w:t>.</w:t>
      </w:r>
    </w:p>
    <w:p w14:paraId="72EE402A" w14:textId="77777777" w:rsidR="00C77DC9" w:rsidRPr="009D04E0" w:rsidRDefault="00C77DC9" w:rsidP="00C77DC9">
      <w:pPr>
        <w:pStyle w:val="ListParagraph"/>
        <w:spacing w:after="120"/>
        <w:contextualSpacing/>
        <w:jc w:val="both"/>
        <w:rPr>
          <w:bCs/>
        </w:rPr>
      </w:pPr>
    </w:p>
    <w:p w14:paraId="0D9A815A" w14:textId="34AE8F21" w:rsidR="0091794E" w:rsidRPr="0048766D" w:rsidRDefault="0091794E" w:rsidP="0048766D">
      <w:pPr>
        <w:pStyle w:val="ListParagraph"/>
        <w:numPr>
          <w:ilvl w:val="0"/>
          <w:numId w:val="1"/>
        </w:numPr>
        <w:spacing w:after="160"/>
        <w:jc w:val="both"/>
        <w:rPr>
          <w:b/>
          <w:bCs/>
        </w:rPr>
      </w:pPr>
      <w:r w:rsidRPr="0048766D">
        <w:rPr>
          <w:b/>
          <w:bCs/>
        </w:rPr>
        <w:t xml:space="preserve">Deliverables </w:t>
      </w:r>
    </w:p>
    <w:p w14:paraId="25145E04" w14:textId="77777777" w:rsidR="0091794E" w:rsidRPr="0048766D" w:rsidRDefault="0091794E" w:rsidP="0048766D">
      <w:pPr>
        <w:spacing w:line="276" w:lineRule="auto"/>
        <w:jc w:val="both"/>
        <w:rPr>
          <w:rFonts w:eastAsia="Times New Roman"/>
          <w:color w:val="000000"/>
        </w:rPr>
      </w:pPr>
      <w:r w:rsidRPr="0048766D">
        <w:rPr>
          <w:rFonts w:eastAsia="Times New Roman"/>
          <w:color w:val="000000"/>
        </w:rPr>
        <w:t xml:space="preserve">The deliverables for the Consultant will be as follows: </w:t>
      </w:r>
    </w:p>
    <w:p w14:paraId="53758FF9" w14:textId="502682C0" w:rsidR="00F80DD3" w:rsidRPr="00BF1685" w:rsidRDefault="00F80DD3" w:rsidP="003B099F">
      <w:pPr>
        <w:pStyle w:val="ListParagraph"/>
        <w:numPr>
          <w:ilvl w:val="0"/>
          <w:numId w:val="8"/>
        </w:numPr>
        <w:spacing w:after="0" w:line="240" w:lineRule="atLeast"/>
        <w:jc w:val="both"/>
        <w:rPr>
          <w:rFonts w:eastAsia="Times New Roman"/>
          <w:color w:val="000000"/>
        </w:rPr>
      </w:pPr>
      <w:r w:rsidRPr="0048766D">
        <w:rPr>
          <w:rFonts w:eastAsia="Times New Roman"/>
          <w:color w:val="000000"/>
        </w:rPr>
        <w:t>Technical contribution to the action plan</w:t>
      </w:r>
      <w:r w:rsidR="00BF1685">
        <w:rPr>
          <w:rFonts w:eastAsia="Times New Roman"/>
          <w:color w:val="000000"/>
        </w:rPr>
        <w:t xml:space="preserve"> to </w:t>
      </w:r>
      <w:r w:rsidR="00FC62EC">
        <w:rPr>
          <w:rFonts w:eastAsia="Times New Roman"/>
          <w:color w:val="000000"/>
        </w:rPr>
        <w:t>establish</w:t>
      </w:r>
      <w:r w:rsidR="000A69EE">
        <w:rPr>
          <w:rFonts w:eastAsia="Times New Roman"/>
          <w:color w:val="000000"/>
        </w:rPr>
        <w:t xml:space="preserve"> and </w:t>
      </w:r>
      <w:r w:rsidR="00BF1685">
        <w:rPr>
          <w:bCs/>
        </w:rPr>
        <w:t xml:space="preserve">operationalize </w:t>
      </w:r>
      <w:r w:rsidR="000A69EE">
        <w:rPr>
          <w:bCs/>
        </w:rPr>
        <w:t xml:space="preserve">the </w:t>
      </w:r>
      <w:r w:rsidR="00BF1685">
        <w:rPr>
          <w:bCs/>
        </w:rPr>
        <w:t xml:space="preserve">ESI </w:t>
      </w:r>
      <w:r w:rsidR="00FC62EC">
        <w:rPr>
          <w:bCs/>
        </w:rPr>
        <w:t>regulat</w:t>
      </w:r>
      <w:r w:rsidR="00636AB7">
        <w:rPr>
          <w:bCs/>
        </w:rPr>
        <w:t>ory framework</w:t>
      </w:r>
      <w:r w:rsidR="00BF1685" w:rsidRPr="00976655">
        <w:rPr>
          <w:bCs/>
        </w:rPr>
        <w:t>.</w:t>
      </w:r>
    </w:p>
    <w:p w14:paraId="47A559F5" w14:textId="4D7F1D41" w:rsidR="005B7E19" w:rsidRPr="00D15A33" w:rsidRDefault="002D7FD5" w:rsidP="003B099F">
      <w:pPr>
        <w:pStyle w:val="ListParagraph"/>
        <w:numPr>
          <w:ilvl w:val="0"/>
          <w:numId w:val="8"/>
        </w:numPr>
        <w:spacing w:after="120"/>
        <w:contextualSpacing/>
        <w:jc w:val="both"/>
        <w:rPr>
          <w:rFonts w:eastAsia="Times New Roman"/>
          <w:color w:val="000000"/>
        </w:rPr>
      </w:pPr>
      <w:r>
        <w:rPr>
          <w:rFonts w:eastAsia="Times New Roman"/>
          <w:color w:val="000000"/>
        </w:rPr>
        <w:t xml:space="preserve">Technical Regulations including but not limited to </w:t>
      </w:r>
      <w:r w:rsidR="00570240">
        <w:rPr>
          <w:rFonts w:eastAsia="Times New Roman"/>
          <w:color w:val="000000"/>
        </w:rPr>
        <w:t>secondary regulation</w:t>
      </w:r>
      <w:r>
        <w:rPr>
          <w:rFonts w:eastAsia="Times New Roman"/>
          <w:color w:val="000000"/>
        </w:rPr>
        <w:t>s</w:t>
      </w:r>
      <w:r w:rsidR="00570240">
        <w:rPr>
          <w:rFonts w:eastAsia="Times New Roman"/>
          <w:color w:val="000000"/>
        </w:rPr>
        <w:t xml:space="preserve">, </w:t>
      </w:r>
      <w:r w:rsidR="00250950">
        <w:rPr>
          <w:rFonts w:eastAsia="Times New Roman"/>
          <w:color w:val="000000"/>
        </w:rPr>
        <w:t>licenses and sector codes and standards.</w:t>
      </w:r>
    </w:p>
    <w:p w14:paraId="27B5B2FE" w14:textId="0362496E" w:rsidR="0091794E" w:rsidRDefault="005306FE" w:rsidP="009C62E0">
      <w:pPr>
        <w:pStyle w:val="ListParagraph"/>
        <w:numPr>
          <w:ilvl w:val="0"/>
          <w:numId w:val="8"/>
        </w:numPr>
        <w:spacing w:after="0"/>
        <w:contextualSpacing/>
        <w:jc w:val="both"/>
        <w:rPr>
          <w:rFonts w:eastAsia="Times New Roman"/>
          <w:color w:val="000000"/>
        </w:rPr>
      </w:pPr>
      <w:r w:rsidRPr="009C62E0">
        <w:rPr>
          <w:rFonts w:eastAsia="Times New Roman"/>
          <w:color w:val="000000"/>
        </w:rPr>
        <w:t>C</w:t>
      </w:r>
      <w:r w:rsidR="005B7E19" w:rsidRPr="009C62E0">
        <w:rPr>
          <w:rFonts w:eastAsia="Times New Roman"/>
          <w:color w:val="000000"/>
        </w:rPr>
        <w:t>ompliance reviews and enforcement of standards</w:t>
      </w:r>
      <w:r w:rsidRPr="009C62E0">
        <w:rPr>
          <w:rFonts w:eastAsia="Times New Roman"/>
          <w:color w:val="000000"/>
        </w:rPr>
        <w:t>/codes</w:t>
      </w:r>
      <w:r w:rsidR="00F055AC" w:rsidRPr="009C62E0">
        <w:rPr>
          <w:rFonts w:eastAsia="Times New Roman"/>
          <w:color w:val="000000"/>
        </w:rPr>
        <w:t xml:space="preserve"> </w:t>
      </w:r>
      <w:r w:rsidR="005B7E19" w:rsidRPr="009C62E0">
        <w:rPr>
          <w:rFonts w:eastAsia="Times New Roman"/>
          <w:color w:val="000000"/>
        </w:rPr>
        <w:t>of performance across generation, transmission, and distribution segments</w:t>
      </w:r>
      <w:r w:rsidR="00F055AC" w:rsidRPr="009C62E0">
        <w:rPr>
          <w:rFonts w:eastAsia="Times New Roman"/>
          <w:color w:val="000000"/>
        </w:rPr>
        <w:t>.</w:t>
      </w:r>
    </w:p>
    <w:p w14:paraId="730A33B6" w14:textId="77777777" w:rsidR="000410E7" w:rsidRDefault="003A4904" w:rsidP="000410E7">
      <w:pPr>
        <w:pStyle w:val="ListParagraph"/>
        <w:numPr>
          <w:ilvl w:val="0"/>
          <w:numId w:val="8"/>
        </w:numPr>
        <w:spacing w:after="0"/>
        <w:contextualSpacing/>
        <w:jc w:val="both"/>
        <w:rPr>
          <w:rFonts w:eastAsia="Times New Roman"/>
          <w:color w:val="000000"/>
        </w:rPr>
      </w:pPr>
      <w:r w:rsidRPr="000410E7">
        <w:rPr>
          <w:rFonts w:eastAsia="Times New Roman"/>
          <w:color w:val="000000"/>
        </w:rPr>
        <w:t>A comprehensive database for the ESI, including service providers (ESPs), consumers and other Key Performance Indicators</w:t>
      </w:r>
      <w:r w:rsidR="008D4AB6" w:rsidRPr="000410E7">
        <w:rPr>
          <w:rFonts w:eastAsia="Times New Roman"/>
          <w:color w:val="000000"/>
        </w:rPr>
        <w:t>.</w:t>
      </w:r>
    </w:p>
    <w:p w14:paraId="4B1C447B" w14:textId="2906557C" w:rsidR="009C62E0" w:rsidRPr="000410E7" w:rsidRDefault="008D4AB6" w:rsidP="000410E7">
      <w:pPr>
        <w:pStyle w:val="ListParagraph"/>
        <w:numPr>
          <w:ilvl w:val="0"/>
          <w:numId w:val="8"/>
        </w:numPr>
        <w:spacing w:after="0"/>
        <w:contextualSpacing/>
        <w:jc w:val="both"/>
        <w:rPr>
          <w:rFonts w:eastAsia="Times New Roman"/>
          <w:color w:val="000000"/>
        </w:rPr>
      </w:pPr>
      <w:r w:rsidRPr="000410E7">
        <w:rPr>
          <w:rFonts w:eastAsia="Times New Roman"/>
          <w:color w:val="000000"/>
        </w:rPr>
        <w:t>Quarterly, Semiannual and Annual reports covering the key aspects of the ESI</w:t>
      </w:r>
    </w:p>
    <w:p w14:paraId="6CA7B615" w14:textId="77777777" w:rsidR="00D15A33" w:rsidRPr="009240A0" w:rsidRDefault="00D15A33" w:rsidP="009240A0">
      <w:pPr>
        <w:contextualSpacing/>
        <w:jc w:val="both"/>
        <w:rPr>
          <w:rFonts w:eastAsia="Times New Roman"/>
          <w:color w:val="000000"/>
        </w:rPr>
      </w:pPr>
    </w:p>
    <w:p w14:paraId="58BE703E" w14:textId="621D001F" w:rsidR="009B4A95" w:rsidRPr="0048766D" w:rsidRDefault="009B4A95" w:rsidP="0048766D">
      <w:pPr>
        <w:pStyle w:val="ListParagraph"/>
        <w:numPr>
          <w:ilvl w:val="0"/>
          <w:numId w:val="1"/>
        </w:numPr>
        <w:spacing w:after="160"/>
        <w:jc w:val="both"/>
        <w:rPr>
          <w:b/>
          <w:bCs/>
        </w:rPr>
      </w:pPr>
      <w:r w:rsidRPr="0048766D">
        <w:rPr>
          <w:b/>
          <w:bCs/>
        </w:rPr>
        <w:t>Qualifications and Experience Requirements</w:t>
      </w:r>
      <w:r w:rsidR="00E93112" w:rsidRPr="0048766D">
        <w:rPr>
          <w:b/>
          <w:bCs/>
        </w:rPr>
        <w:t xml:space="preserve">: </w:t>
      </w:r>
    </w:p>
    <w:p w14:paraId="15543BB0" w14:textId="309D1D47" w:rsidR="009B4A95" w:rsidRPr="0048766D" w:rsidRDefault="009B4A95" w:rsidP="0048766D">
      <w:pPr>
        <w:spacing w:line="276" w:lineRule="auto"/>
        <w:jc w:val="both"/>
        <w:rPr>
          <w:bCs/>
        </w:rPr>
      </w:pPr>
      <w:r w:rsidRPr="0048766D">
        <w:rPr>
          <w:bCs/>
        </w:rPr>
        <w:t xml:space="preserve">The Consultant </w:t>
      </w:r>
      <w:r w:rsidR="00F34F24">
        <w:rPr>
          <w:bCs/>
        </w:rPr>
        <w:t>shall</w:t>
      </w:r>
      <w:r w:rsidR="00F34F24" w:rsidRPr="0048766D">
        <w:rPr>
          <w:bCs/>
        </w:rPr>
        <w:t xml:space="preserve"> </w:t>
      </w:r>
      <w:r w:rsidRPr="0048766D">
        <w:rPr>
          <w:bCs/>
        </w:rPr>
        <w:t xml:space="preserve">have the following desired qualifications and experience: </w:t>
      </w:r>
    </w:p>
    <w:p w14:paraId="6232A2DF" w14:textId="49082DB9" w:rsidR="00CA1E35" w:rsidRPr="00D15A33" w:rsidRDefault="00F120FA" w:rsidP="00D15A33">
      <w:pPr>
        <w:pStyle w:val="ListParagraph"/>
        <w:numPr>
          <w:ilvl w:val="0"/>
          <w:numId w:val="4"/>
        </w:numPr>
        <w:spacing w:after="40"/>
        <w:jc w:val="both"/>
        <w:rPr>
          <w:color w:val="000000" w:themeColor="text1"/>
        </w:rPr>
      </w:pPr>
      <w:r>
        <w:rPr>
          <w:color w:val="000000" w:themeColor="text1"/>
        </w:rPr>
        <w:t xml:space="preserve">At least </w:t>
      </w:r>
      <w:r w:rsidR="003A3D04">
        <w:rPr>
          <w:color w:val="000000" w:themeColor="text1"/>
        </w:rPr>
        <w:t xml:space="preserve">a </w:t>
      </w:r>
      <w:proofErr w:type="gramStart"/>
      <w:r w:rsidR="00101A58">
        <w:rPr>
          <w:color w:val="000000" w:themeColor="text1"/>
        </w:rPr>
        <w:t>bachelor’s</w:t>
      </w:r>
      <w:r w:rsidR="00CA1E35">
        <w:rPr>
          <w:color w:val="000000" w:themeColor="text1"/>
        </w:rPr>
        <w:t xml:space="preserve"> degree in</w:t>
      </w:r>
      <w:r w:rsidR="00101A58">
        <w:rPr>
          <w:color w:val="000000" w:themeColor="text1"/>
        </w:rPr>
        <w:t xml:space="preserve"> </w:t>
      </w:r>
      <w:r w:rsidR="00BC6197">
        <w:rPr>
          <w:color w:val="000000" w:themeColor="text1"/>
        </w:rPr>
        <w:t>Electrical E</w:t>
      </w:r>
      <w:r w:rsidR="00CA1E35">
        <w:rPr>
          <w:color w:val="000000" w:themeColor="text1"/>
        </w:rPr>
        <w:t>ngineering</w:t>
      </w:r>
      <w:proofErr w:type="gramEnd"/>
      <w:r>
        <w:rPr>
          <w:color w:val="000000" w:themeColor="text1"/>
        </w:rPr>
        <w:t xml:space="preserve"> or equivalent</w:t>
      </w:r>
      <w:r w:rsidR="00CA1E35">
        <w:rPr>
          <w:color w:val="000000" w:themeColor="text1"/>
        </w:rPr>
        <w:t xml:space="preserve">. </w:t>
      </w:r>
      <w:r>
        <w:rPr>
          <w:color w:val="000000" w:themeColor="text1"/>
        </w:rPr>
        <w:t xml:space="preserve">A </w:t>
      </w:r>
      <w:r w:rsidR="00101A58">
        <w:rPr>
          <w:color w:val="000000" w:themeColor="text1"/>
        </w:rPr>
        <w:t>master’s</w:t>
      </w:r>
      <w:r w:rsidR="00CA1E35">
        <w:rPr>
          <w:color w:val="000000" w:themeColor="text1"/>
        </w:rPr>
        <w:t xml:space="preserve"> degree</w:t>
      </w:r>
      <w:r>
        <w:rPr>
          <w:color w:val="000000" w:themeColor="text1"/>
        </w:rPr>
        <w:t xml:space="preserve"> and any </w:t>
      </w:r>
      <w:r w:rsidR="008F7766" w:rsidRPr="008F7766">
        <w:rPr>
          <w:color w:val="000000" w:themeColor="text1"/>
        </w:rPr>
        <w:t xml:space="preserve">other Post Graduate training </w:t>
      </w:r>
      <w:r w:rsidR="00BC6197">
        <w:rPr>
          <w:color w:val="000000" w:themeColor="text1"/>
        </w:rPr>
        <w:t>in utility and regulation operations shall be an added advantage</w:t>
      </w:r>
      <w:r w:rsidR="00D15A33">
        <w:rPr>
          <w:color w:val="000000" w:themeColor="text1"/>
        </w:rPr>
        <w:t xml:space="preserve">. </w:t>
      </w:r>
    </w:p>
    <w:p w14:paraId="4B349356" w14:textId="74F15B1F" w:rsidR="005976A3" w:rsidRDefault="00CA1E35" w:rsidP="00970995">
      <w:pPr>
        <w:pStyle w:val="ListParagraph"/>
        <w:numPr>
          <w:ilvl w:val="0"/>
          <w:numId w:val="4"/>
        </w:numPr>
        <w:spacing w:after="40"/>
        <w:jc w:val="both"/>
        <w:rPr>
          <w:color w:val="000000" w:themeColor="text1"/>
        </w:rPr>
      </w:pPr>
      <w:r>
        <w:rPr>
          <w:color w:val="000000" w:themeColor="text1"/>
        </w:rPr>
        <w:t xml:space="preserve">Demonstrated </w:t>
      </w:r>
      <w:r w:rsidR="00BC6197">
        <w:rPr>
          <w:color w:val="000000" w:themeColor="text1"/>
        </w:rPr>
        <w:t xml:space="preserve">practical </w:t>
      </w:r>
      <w:r>
        <w:rPr>
          <w:color w:val="000000" w:themeColor="text1"/>
        </w:rPr>
        <w:t xml:space="preserve">experience of </w:t>
      </w:r>
      <w:r w:rsidR="00FA46EA" w:rsidRPr="0048766D">
        <w:rPr>
          <w:color w:val="000000" w:themeColor="text1"/>
        </w:rPr>
        <w:t xml:space="preserve">at least </w:t>
      </w:r>
      <w:r w:rsidR="00BC6197">
        <w:rPr>
          <w:color w:val="000000" w:themeColor="text1"/>
        </w:rPr>
        <w:t>5</w:t>
      </w:r>
      <w:r w:rsidR="00BC6197" w:rsidRPr="0048766D">
        <w:rPr>
          <w:color w:val="000000" w:themeColor="text1"/>
        </w:rPr>
        <w:t xml:space="preserve"> </w:t>
      </w:r>
      <w:r w:rsidR="00FA46EA" w:rsidRPr="0048766D">
        <w:rPr>
          <w:color w:val="000000" w:themeColor="text1"/>
        </w:rPr>
        <w:t xml:space="preserve">years </w:t>
      </w:r>
      <w:r w:rsidR="00101A58" w:rsidRPr="0048766D">
        <w:rPr>
          <w:color w:val="000000" w:themeColor="text1"/>
        </w:rPr>
        <w:t>of</w:t>
      </w:r>
      <w:r w:rsidR="00BC6197">
        <w:rPr>
          <w:color w:val="000000" w:themeColor="text1"/>
        </w:rPr>
        <w:t xml:space="preserve"> utility </w:t>
      </w:r>
      <w:r w:rsidR="00F70279">
        <w:rPr>
          <w:color w:val="000000" w:themeColor="text1"/>
        </w:rPr>
        <w:t xml:space="preserve">regulation, </w:t>
      </w:r>
      <w:r w:rsidR="00BC6197">
        <w:rPr>
          <w:color w:val="000000" w:themeColor="text1"/>
        </w:rPr>
        <w:t>operations</w:t>
      </w:r>
      <w:r w:rsidR="00501B73" w:rsidRPr="0048766D">
        <w:rPr>
          <w:color w:val="000000" w:themeColor="text1"/>
        </w:rPr>
        <w:t xml:space="preserve"> </w:t>
      </w:r>
      <w:r w:rsidR="008A1B0F">
        <w:rPr>
          <w:color w:val="000000" w:themeColor="text1"/>
        </w:rPr>
        <w:t>covering planning,</w:t>
      </w:r>
      <w:r w:rsidR="007E5A5D">
        <w:rPr>
          <w:color w:val="000000" w:themeColor="text1"/>
        </w:rPr>
        <w:t xml:space="preserve"> generation, transmission, and distribution</w:t>
      </w:r>
      <w:r w:rsidR="00FA46EA" w:rsidRPr="0048766D">
        <w:rPr>
          <w:color w:val="000000" w:themeColor="text1"/>
        </w:rPr>
        <w:t xml:space="preserve"> </w:t>
      </w:r>
      <w:r w:rsidR="00F70279">
        <w:rPr>
          <w:color w:val="000000" w:themeColor="text1"/>
        </w:rPr>
        <w:t>in a utility</w:t>
      </w:r>
      <w:r w:rsidR="00FA46EA" w:rsidRPr="0048766D">
        <w:rPr>
          <w:color w:val="000000" w:themeColor="text1"/>
        </w:rPr>
        <w:t xml:space="preserve"> in Sub-Saharan Africa or </w:t>
      </w:r>
      <w:r w:rsidR="00501B73" w:rsidRPr="0048766D">
        <w:rPr>
          <w:color w:val="000000" w:themeColor="text1"/>
        </w:rPr>
        <w:t>another</w:t>
      </w:r>
      <w:r w:rsidR="00FA46EA" w:rsidRPr="0048766D">
        <w:rPr>
          <w:color w:val="000000" w:themeColor="text1"/>
        </w:rPr>
        <w:t xml:space="preserve"> similar Emerging Economy</w:t>
      </w:r>
      <w:r w:rsidR="00970995">
        <w:rPr>
          <w:color w:val="000000" w:themeColor="text1"/>
        </w:rPr>
        <w:t>.</w:t>
      </w:r>
    </w:p>
    <w:p w14:paraId="3AF3F189" w14:textId="08224037" w:rsidR="00FA46EA" w:rsidRPr="00970995" w:rsidRDefault="00970995" w:rsidP="00970995">
      <w:pPr>
        <w:pStyle w:val="ListParagraph"/>
        <w:numPr>
          <w:ilvl w:val="0"/>
          <w:numId w:val="4"/>
        </w:numPr>
        <w:spacing w:after="40"/>
        <w:jc w:val="both"/>
        <w:rPr>
          <w:color w:val="000000" w:themeColor="text1"/>
        </w:rPr>
      </w:pPr>
      <w:r>
        <w:rPr>
          <w:color w:val="000000" w:themeColor="text1"/>
        </w:rPr>
        <w:t xml:space="preserve"> </w:t>
      </w:r>
      <w:r w:rsidR="00360559">
        <w:rPr>
          <w:color w:val="000000" w:themeColor="text1"/>
        </w:rPr>
        <w:t xml:space="preserve">Experience in working in a similar </w:t>
      </w:r>
      <w:r w:rsidR="0047540E">
        <w:rPr>
          <w:color w:val="000000" w:themeColor="text1"/>
        </w:rPr>
        <w:t xml:space="preserve">environment of fragility </w:t>
      </w:r>
      <w:r w:rsidR="00360559">
        <w:rPr>
          <w:color w:val="000000" w:themeColor="text1"/>
        </w:rPr>
        <w:t>states</w:t>
      </w:r>
      <w:r w:rsidR="005976A3">
        <w:rPr>
          <w:color w:val="000000" w:themeColor="text1"/>
        </w:rPr>
        <w:t xml:space="preserve">. </w:t>
      </w:r>
    </w:p>
    <w:p w14:paraId="45E7F3E8" w14:textId="5A3DD922" w:rsidR="00FA46EA" w:rsidRPr="00D15A33" w:rsidRDefault="00666B1B" w:rsidP="00D15A33">
      <w:pPr>
        <w:pStyle w:val="ListParagraph"/>
        <w:numPr>
          <w:ilvl w:val="0"/>
          <w:numId w:val="4"/>
        </w:numPr>
        <w:spacing w:after="40"/>
        <w:jc w:val="both"/>
        <w:rPr>
          <w:color w:val="000000" w:themeColor="text1"/>
        </w:rPr>
      </w:pPr>
      <w:r>
        <w:rPr>
          <w:color w:val="000000" w:themeColor="text1"/>
        </w:rPr>
        <w:lastRenderedPageBreak/>
        <w:t xml:space="preserve">Demonstrated </w:t>
      </w:r>
      <w:r w:rsidR="00FA46EA" w:rsidRPr="0048766D">
        <w:rPr>
          <w:color w:val="000000" w:themeColor="text1"/>
        </w:rPr>
        <w:t xml:space="preserve">Experience working with modern energy systems planning tools, monitoring, and load-flow analysis </w:t>
      </w:r>
      <w:r w:rsidR="00AF190E">
        <w:rPr>
          <w:color w:val="000000" w:themeColor="text1"/>
        </w:rPr>
        <w:t xml:space="preserve">including </w:t>
      </w:r>
      <w:r>
        <w:rPr>
          <w:color w:val="000000" w:themeColor="text1"/>
        </w:rPr>
        <w:t>use of various comp</w:t>
      </w:r>
      <w:r w:rsidR="00E12250">
        <w:rPr>
          <w:color w:val="000000" w:themeColor="text1"/>
        </w:rPr>
        <w:t xml:space="preserve">uter programs </w:t>
      </w:r>
      <w:r w:rsidR="00FF1854">
        <w:rPr>
          <w:color w:val="000000" w:themeColor="text1"/>
        </w:rPr>
        <w:t xml:space="preserve">such as </w:t>
      </w:r>
      <w:r w:rsidR="00FF1854" w:rsidRPr="00FF1854">
        <w:rPr>
          <w:color w:val="000000" w:themeColor="text1"/>
        </w:rPr>
        <w:t>PSS/E</w:t>
      </w:r>
      <w:r w:rsidR="00FF1854">
        <w:rPr>
          <w:color w:val="000000" w:themeColor="text1"/>
        </w:rPr>
        <w:t>,</w:t>
      </w:r>
      <w:r w:rsidR="001511AF">
        <w:rPr>
          <w:color w:val="000000" w:themeColor="text1"/>
        </w:rPr>
        <w:t xml:space="preserve"> </w:t>
      </w:r>
      <w:r w:rsidR="001511AF" w:rsidRPr="001511AF">
        <w:rPr>
          <w:color w:val="000000" w:themeColor="text1"/>
        </w:rPr>
        <w:t>CYMDIST</w:t>
      </w:r>
      <w:r w:rsidR="001511AF">
        <w:rPr>
          <w:color w:val="000000" w:themeColor="text1"/>
        </w:rPr>
        <w:t>,</w:t>
      </w:r>
      <w:r w:rsidR="000273A1">
        <w:rPr>
          <w:color w:val="000000" w:themeColor="text1"/>
        </w:rPr>
        <w:t xml:space="preserve"> ETAP, etc.</w:t>
      </w:r>
    </w:p>
    <w:p w14:paraId="6309C6B7" w14:textId="090D4BB8" w:rsidR="00D15A33" w:rsidRPr="00F25F47" w:rsidRDefault="00FA28AD" w:rsidP="00F25F47">
      <w:pPr>
        <w:pStyle w:val="ListParagraph"/>
        <w:numPr>
          <w:ilvl w:val="0"/>
          <w:numId w:val="4"/>
        </w:numPr>
        <w:spacing w:after="120"/>
        <w:ind w:hanging="436"/>
        <w:jc w:val="both"/>
        <w:rPr>
          <w:bCs/>
        </w:rPr>
      </w:pPr>
      <w:bookmarkStart w:id="1" w:name="_Hlk130896189"/>
      <w:r w:rsidRPr="00F25F47">
        <w:rPr>
          <w:bCs/>
        </w:rPr>
        <w:t xml:space="preserve">Proficiency in both spoken and written English language </w:t>
      </w:r>
      <w:r w:rsidR="00EF6A34" w:rsidRPr="00F25F47">
        <w:rPr>
          <w:bCs/>
        </w:rPr>
        <w:t xml:space="preserve">including ability to communicate effectively and </w:t>
      </w:r>
      <w:r w:rsidR="00615C20" w:rsidRPr="00F25F47">
        <w:rPr>
          <w:bCs/>
        </w:rPr>
        <w:t>excellent writing skills.</w:t>
      </w:r>
      <w:r w:rsidRPr="00F25F47">
        <w:rPr>
          <w:bCs/>
        </w:rPr>
        <w:t xml:space="preserve"> </w:t>
      </w:r>
      <w:r w:rsidR="00615C20" w:rsidRPr="00F25F47">
        <w:rPr>
          <w:bCs/>
        </w:rPr>
        <w:t>Fluency in Somali shall be an</w:t>
      </w:r>
      <w:r w:rsidR="008D28C1" w:rsidRPr="00F25F47">
        <w:rPr>
          <w:bCs/>
        </w:rPr>
        <w:t xml:space="preserve"> added advantage</w:t>
      </w:r>
      <w:bookmarkEnd w:id="1"/>
      <w:r w:rsidR="008D28C1" w:rsidRPr="00F25F47">
        <w:rPr>
          <w:bCs/>
        </w:rPr>
        <w:t>.</w:t>
      </w:r>
      <w:r w:rsidR="008A692C" w:rsidRPr="00F25F47">
        <w:rPr>
          <w:bCs/>
        </w:rPr>
        <w:t xml:space="preserve"> </w:t>
      </w:r>
    </w:p>
    <w:p w14:paraId="6D1E26F5" w14:textId="58A23CF7" w:rsidR="008A6663" w:rsidRPr="0048766D" w:rsidRDefault="008A6663" w:rsidP="0048766D">
      <w:pPr>
        <w:numPr>
          <w:ilvl w:val="0"/>
          <w:numId w:val="1"/>
        </w:numPr>
        <w:spacing w:after="160" w:line="276" w:lineRule="auto"/>
        <w:jc w:val="both"/>
        <w:rPr>
          <w:b/>
          <w:bCs/>
        </w:rPr>
      </w:pPr>
      <w:r w:rsidRPr="0048766D">
        <w:rPr>
          <w:b/>
          <w:bCs/>
        </w:rPr>
        <w:t>Assignment Location</w:t>
      </w:r>
      <w:r w:rsidR="00E93112" w:rsidRPr="0048766D">
        <w:rPr>
          <w:b/>
          <w:bCs/>
        </w:rPr>
        <w:t xml:space="preserve">: </w:t>
      </w:r>
    </w:p>
    <w:p w14:paraId="1B5FF768" w14:textId="2118B052" w:rsidR="00163E4D" w:rsidRPr="0048766D" w:rsidRDefault="008A6663" w:rsidP="0048766D">
      <w:pPr>
        <w:spacing w:after="160" w:line="276" w:lineRule="auto"/>
        <w:jc w:val="both"/>
        <w:rPr>
          <w:bCs/>
        </w:rPr>
      </w:pPr>
      <w:r w:rsidRPr="0048766D">
        <w:rPr>
          <w:bCs/>
        </w:rPr>
        <w:t xml:space="preserve">The </w:t>
      </w:r>
      <w:r w:rsidR="0091794E" w:rsidRPr="00025BBC">
        <w:t xml:space="preserve">Technical Regulation </w:t>
      </w:r>
      <w:r w:rsidR="0091794E" w:rsidRPr="0048766D">
        <w:rPr>
          <w:color w:val="373A3C"/>
        </w:rPr>
        <w:t>Advisor</w:t>
      </w:r>
      <w:r w:rsidR="00F055AC" w:rsidRPr="0048766D">
        <w:rPr>
          <w:rFonts w:eastAsia="Times New Roman"/>
        </w:rPr>
        <w:t xml:space="preserve"> </w:t>
      </w:r>
      <w:r w:rsidRPr="0048766D">
        <w:rPr>
          <w:bCs/>
        </w:rPr>
        <w:t xml:space="preserve">will be based in the </w:t>
      </w:r>
      <w:r w:rsidR="00375D94">
        <w:rPr>
          <w:bCs/>
        </w:rPr>
        <w:t xml:space="preserve">National Electricity Authority </w:t>
      </w:r>
      <w:r w:rsidRPr="0048766D">
        <w:rPr>
          <w:bCs/>
        </w:rPr>
        <w:t xml:space="preserve">Headquarters in Mogadishu and </w:t>
      </w:r>
      <w:r w:rsidR="0091794E" w:rsidRPr="0048766D">
        <w:rPr>
          <w:bCs/>
        </w:rPr>
        <w:t xml:space="preserve">may frequently travel out-field for compliance and consultative visits. </w:t>
      </w:r>
    </w:p>
    <w:p w14:paraId="22F47770" w14:textId="200EA6E0" w:rsidR="008A6663" w:rsidRPr="003A35D4" w:rsidRDefault="00F055AC" w:rsidP="003A35D4">
      <w:pPr>
        <w:pStyle w:val="ListParagraph"/>
        <w:numPr>
          <w:ilvl w:val="0"/>
          <w:numId w:val="1"/>
        </w:numPr>
        <w:spacing w:after="160"/>
        <w:jc w:val="both"/>
        <w:rPr>
          <w:b/>
          <w:bCs/>
        </w:rPr>
      </w:pPr>
      <w:r w:rsidRPr="003A35D4">
        <w:rPr>
          <w:b/>
          <w:bCs/>
        </w:rPr>
        <w:t>T</w:t>
      </w:r>
      <w:r w:rsidR="008A6663" w:rsidRPr="003A35D4">
        <w:rPr>
          <w:b/>
          <w:bCs/>
        </w:rPr>
        <w:t>ime frame and Reporting</w:t>
      </w:r>
      <w:r w:rsidR="00133AC2" w:rsidRPr="003A35D4">
        <w:rPr>
          <w:b/>
          <w:bCs/>
        </w:rPr>
        <w:t xml:space="preserve">: </w:t>
      </w:r>
    </w:p>
    <w:p w14:paraId="5714A9E2" w14:textId="6FA0BC42" w:rsidR="0005684E" w:rsidRPr="0048766D" w:rsidRDefault="0005684E" w:rsidP="0048766D">
      <w:pPr>
        <w:spacing w:after="120" w:line="276" w:lineRule="auto"/>
        <w:jc w:val="both"/>
        <w:rPr>
          <w:bCs/>
        </w:rPr>
      </w:pPr>
      <w:r w:rsidRPr="0048766D">
        <w:rPr>
          <w:bCs/>
        </w:rPr>
        <w:t xml:space="preserve">The expected duration of the consultancy is </w:t>
      </w:r>
      <w:r w:rsidR="00D54D4C">
        <w:rPr>
          <w:bCs/>
        </w:rPr>
        <w:t>two</w:t>
      </w:r>
      <w:r w:rsidR="00D54D4C" w:rsidRPr="0048766D">
        <w:rPr>
          <w:bCs/>
        </w:rPr>
        <w:t xml:space="preserve"> </w:t>
      </w:r>
      <w:r w:rsidRPr="0048766D">
        <w:rPr>
          <w:bCs/>
        </w:rPr>
        <w:t>(</w:t>
      </w:r>
      <w:r w:rsidR="00D54D4C">
        <w:rPr>
          <w:bCs/>
        </w:rPr>
        <w:t>2</w:t>
      </w:r>
      <w:r w:rsidRPr="0048766D">
        <w:rPr>
          <w:bCs/>
        </w:rPr>
        <w:t xml:space="preserve">) </w:t>
      </w:r>
      <w:r w:rsidR="006B29F7" w:rsidRPr="0048766D">
        <w:rPr>
          <w:bCs/>
        </w:rPr>
        <w:t>year</w:t>
      </w:r>
      <w:r w:rsidR="00D54D4C">
        <w:rPr>
          <w:bCs/>
        </w:rPr>
        <w:t>s</w:t>
      </w:r>
      <w:r w:rsidRPr="0048766D">
        <w:rPr>
          <w:bCs/>
        </w:rPr>
        <w:t>, subject to satisfactory performance</w:t>
      </w:r>
      <w:r w:rsidR="008E3650">
        <w:rPr>
          <w:bCs/>
        </w:rPr>
        <w:t xml:space="preserve"> </w:t>
      </w:r>
      <w:r w:rsidR="009762E5">
        <w:rPr>
          <w:bCs/>
        </w:rPr>
        <w:t xml:space="preserve">evaluation at the end of the first year </w:t>
      </w:r>
      <w:r w:rsidR="008E3650">
        <w:rPr>
          <w:bCs/>
        </w:rPr>
        <w:t xml:space="preserve">and </w:t>
      </w:r>
      <w:r w:rsidR="00E71ECA">
        <w:rPr>
          <w:bCs/>
        </w:rPr>
        <w:t>need of the services</w:t>
      </w:r>
      <w:r w:rsidRPr="0048766D">
        <w:rPr>
          <w:bCs/>
        </w:rPr>
        <w:t xml:space="preserve">. The assignment is expected to </w:t>
      </w:r>
      <w:r w:rsidRPr="0048766D">
        <w:rPr>
          <w:bCs/>
          <w:color w:val="000000" w:themeColor="text1"/>
        </w:rPr>
        <w:t xml:space="preserve">commence </w:t>
      </w:r>
      <w:r w:rsidR="002870BD" w:rsidRPr="0048766D">
        <w:rPr>
          <w:bCs/>
          <w:color w:val="000000" w:themeColor="text1"/>
        </w:rPr>
        <w:t>in</w:t>
      </w:r>
      <w:r w:rsidR="00D765D5">
        <w:rPr>
          <w:bCs/>
          <w:color w:val="000000" w:themeColor="text1"/>
        </w:rPr>
        <w:t xml:space="preserve"> </w:t>
      </w:r>
      <w:r w:rsidR="00E71ECA">
        <w:rPr>
          <w:bCs/>
          <w:color w:val="000000" w:themeColor="text1"/>
        </w:rPr>
        <w:t xml:space="preserve">November </w:t>
      </w:r>
      <w:r w:rsidR="00D04916">
        <w:rPr>
          <w:bCs/>
          <w:color w:val="000000" w:themeColor="text1"/>
        </w:rPr>
        <w:t>2024</w:t>
      </w:r>
      <w:r w:rsidR="007E5A5D">
        <w:rPr>
          <w:bCs/>
        </w:rPr>
        <w:t xml:space="preserve">. </w:t>
      </w:r>
    </w:p>
    <w:p w14:paraId="4EC631D8" w14:textId="0E5D5366" w:rsidR="0005684E" w:rsidRPr="0048766D" w:rsidRDefault="0005684E" w:rsidP="0048766D">
      <w:pPr>
        <w:spacing w:line="276" w:lineRule="auto"/>
        <w:jc w:val="both"/>
        <w:rPr>
          <w:bCs/>
        </w:rPr>
      </w:pPr>
      <w:r w:rsidRPr="0048766D">
        <w:rPr>
          <w:bCs/>
        </w:rPr>
        <w:t xml:space="preserve">The consultant will report to the Director General of the </w:t>
      </w:r>
      <w:r w:rsidR="005C46A9">
        <w:rPr>
          <w:bCs/>
        </w:rPr>
        <w:t xml:space="preserve">National Electricity Authority (NEA) </w:t>
      </w:r>
      <w:r w:rsidR="007E5A5D" w:rsidRPr="0048766D">
        <w:rPr>
          <w:bCs/>
        </w:rPr>
        <w:t>and</w:t>
      </w:r>
      <w:r w:rsidRPr="0048766D">
        <w:rPr>
          <w:bCs/>
        </w:rPr>
        <w:t xml:space="preserve"> work closely with the</w:t>
      </w:r>
      <w:r w:rsidR="005C46A9">
        <w:rPr>
          <w:bCs/>
        </w:rPr>
        <w:t xml:space="preserve"> </w:t>
      </w:r>
      <w:r w:rsidRPr="0048766D">
        <w:rPr>
          <w:bCs/>
        </w:rPr>
        <w:t>Ministry</w:t>
      </w:r>
      <w:r w:rsidR="005C46A9">
        <w:rPr>
          <w:bCs/>
        </w:rPr>
        <w:t xml:space="preserve"> of Energy and Water Resources</w:t>
      </w:r>
      <w:r w:rsidR="00E71ECA">
        <w:rPr>
          <w:bCs/>
        </w:rPr>
        <w:t xml:space="preserve"> and other sector </w:t>
      </w:r>
      <w:r w:rsidR="008C3704">
        <w:rPr>
          <w:bCs/>
        </w:rPr>
        <w:t>stakeholders such as Federal Member States, and ESPs</w:t>
      </w:r>
      <w:r w:rsidR="005C46A9">
        <w:rPr>
          <w:bCs/>
        </w:rPr>
        <w:t xml:space="preserve">. </w:t>
      </w:r>
      <w:r w:rsidRPr="0048766D">
        <w:rPr>
          <w:bCs/>
        </w:rPr>
        <w:t xml:space="preserve"> </w:t>
      </w:r>
    </w:p>
    <w:p w14:paraId="08ED7BA5" w14:textId="77777777" w:rsidR="00F055AC" w:rsidRPr="0048766D" w:rsidRDefault="00F055AC" w:rsidP="0048766D">
      <w:pPr>
        <w:spacing w:line="276" w:lineRule="auto"/>
        <w:jc w:val="both"/>
        <w:rPr>
          <w:bCs/>
        </w:rPr>
      </w:pPr>
    </w:p>
    <w:p w14:paraId="6D5F9E70" w14:textId="6C5726BF" w:rsidR="009B4A95" w:rsidRPr="0048766D" w:rsidRDefault="009B4A95" w:rsidP="003A35D4">
      <w:pPr>
        <w:pStyle w:val="ListParagraph"/>
        <w:numPr>
          <w:ilvl w:val="0"/>
          <w:numId w:val="1"/>
        </w:numPr>
        <w:spacing w:after="160"/>
        <w:jc w:val="both"/>
        <w:rPr>
          <w:b/>
          <w:bCs/>
        </w:rPr>
      </w:pPr>
      <w:r w:rsidRPr="0048766D">
        <w:rPr>
          <w:b/>
          <w:bCs/>
        </w:rPr>
        <w:t>Inputs/</w:t>
      </w:r>
      <w:r w:rsidR="00F055AC" w:rsidRPr="0048766D">
        <w:rPr>
          <w:b/>
          <w:bCs/>
        </w:rPr>
        <w:t>facilities</w:t>
      </w:r>
      <w:r w:rsidRPr="0048766D">
        <w:rPr>
          <w:b/>
          <w:bCs/>
        </w:rPr>
        <w:t xml:space="preserve"> provided by the Client</w:t>
      </w:r>
      <w:r w:rsidR="00133AC2" w:rsidRPr="0048766D">
        <w:rPr>
          <w:b/>
          <w:bCs/>
        </w:rPr>
        <w:t xml:space="preserve">: </w:t>
      </w:r>
    </w:p>
    <w:p w14:paraId="05819109" w14:textId="0AE4E9B0" w:rsidR="00C57A6C" w:rsidRPr="0048766D" w:rsidRDefault="009B4A95" w:rsidP="0048766D">
      <w:pPr>
        <w:spacing w:line="276" w:lineRule="auto"/>
        <w:jc w:val="both"/>
      </w:pPr>
      <w:r w:rsidRPr="0048766D">
        <w:rPr>
          <w:rFonts w:eastAsia="Times New Roman"/>
        </w:rPr>
        <w:t xml:space="preserve">The client will provide office space with </w:t>
      </w:r>
      <w:r w:rsidR="00101A58" w:rsidRPr="0048766D">
        <w:rPr>
          <w:rFonts w:eastAsia="Times New Roman"/>
        </w:rPr>
        <w:t>the necessary</w:t>
      </w:r>
      <w:r w:rsidRPr="0048766D">
        <w:rPr>
          <w:rFonts w:eastAsia="Times New Roman"/>
        </w:rPr>
        <w:t xml:space="preserve"> furniture</w:t>
      </w:r>
      <w:r w:rsidR="00A26A42" w:rsidRPr="0048766D">
        <w:rPr>
          <w:rFonts w:eastAsia="Times New Roman"/>
        </w:rPr>
        <w:t>,</w:t>
      </w:r>
      <w:r w:rsidR="00F3462C" w:rsidRPr="0048766D">
        <w:rPr>
          <w:rFonts w:eastAsia="Times New Roman"/>
        </w:rPr>
        <w:t xml:space="preserve"> IT </w:t>
      </w:r>
      <w:r w:rsidR="00165ED9" w:rsidRPr="0048766D">
        <w:rPr>
          <w:rFonts w:eastAsia="Times New Roman"/>
        </w:rPr>
        <w:t>equipment</w:t>
      </w:r>
      <w:r w:rsidRPr="0048766D">
        <w:rPr>
          <w:rFonts w:eastAsia="Times New Roman"/>
        </w:rPr>
        <w:t xml:space="preserve"> and other facilities such as printing facility etc. to enable the consultant to perform day-to-day work. </w:t>
      </w:r>
      <w:bookmarkEnd w:id="0"/>
    </w:p>
    <w:sectPr w:rsidR="00C57A6C" w:rsidRPr="0048766D" w:rsidSect="003A35D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83DDE" w14:textId="77777777" w:rsidR="00332335" w:rsidRDefault="00332335" w:rsidP="008B687F">
      <w:r>
        <w:separator/>
      </w:r>
    </w:p>
  </w:endnote>
  <w:endnote w:type="continuationSeparator" w:id="0">
    <w:p w14:paraId="5350E81E" w14:textId="77777777" w:rsidR="00332335" w:rsidRDefault="00332335" w:rsidP="008B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D4767" w14:textId="77777777" w:rsidR="00332335" w:rsidRDefault="00332335" w:rsidP="008B687F">
      <w:r>
        <w:separator/>
      </w:r>
    </w:p>
  </w:footnote>
  <w:footnote w:type="continuationSeparator" w:id="0">
    <w:p w14:paraId="4652F15F" w14:textId="77777777" w:rsidR="00332335" w:rsidRDefault="00332335" w:rsidP="008B6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0B32"/>
    <w:multiLevelType w:val="hybridMultilevel"/>
    <w:tmpl w:val="54F0F4E6"/>
    <w:lvl w:ilvl="0" w:tplc="43381D90">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6B4C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966039"/>
    <w:multiLevelType w:val="hybridMultilevel"/>
    <w:tmpl w:val="3A40FC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E55B57"/>
    <w:multiLevelType w:val="hybridMultilevel"/>
    <w:tmpl w:val="E598B692"/>
    <w:lvl w:ilvl="0" w:tplc="98987CBA">
      <w:start w:val="1"/>
      <w:numFmt w:val="lowerLetter"/>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5069E"/>
    <w:multiLevelType w:val="hybridMultilevel"/>
    <w:tmpl w:val="F91C29AC"/>
    <w:lvl w:ilvl="0" w:tplc="B1EC4914">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AEA7BB6"/>
    <w:multiLevelType w:val="hybridMultilevel"/>
    <w:tmpl w:val="884409B2"/>
    <w:lvl w:ilvl="0" w:tplc="43381D9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F64F89"/>
    <w:multiLevelType w:val="hybridMultilevel"/>
    <w:tmpl w:val="DD4673C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B43DFA"/>
    <w:multiLevelType w:val="hybridMultilevel"/>
    <w:tmpl w:val="D9201884"/>
    <w:lvl w:ilvl="0" w:tplc="98987CBA">
      <w:start w:val="1"/>
      <w:numFmt w:val="lowerLetter"/>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C40BF4"/>
    <w:multiLevelType w:val="hybridMultilevel"/>
    <w:tmpl w:val="6504E5D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D53B2E"/>
    <w:multiLevelType w:val="hybridMultilevel"/>
    <w:tmpl w:val="1E4CD178"/>
    <w:lvl w:ilvl="0" w:tplc="43381D9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4695684">
    <w:abstractNumId w:val="1"/>
  </w:num>
  <w:num w:numId="2" w16cid:durableId="512455854">
    <w:abstractNumId w:val="9"/>
  </w:num>
  <w:num w:numId="3" w16cid:durableId="1223830089">
    <w:abstractNumId w:val="8"/>
  </w:num>
  <w:num w:numId="4" w16cid:durableId="972830021">
    <w:abstractNumId w:val="5"/>
  </w:num>
  <w:num w:numId="5" w16cid:durableId="389770075">
    <w:abstractNumId w:val="4"/>
  </w:num>
  <w:num w:numId="6" w16cid:durableId="1922643223">
    <w:abstractNumId w:val="6"/>
  </w:num>
  <w:num w:numId="7" w16cid:durableId="1489247388">
    <w:abstractNumId w:val="2"/>
  </w:num>
  <w:num w:numId="8" w16cid:durableId="1233348598">
    <w:abstractNumId w:val="0"/>
  </w:num>
  <w:num w:numId="9" w16cid:durableId="1583879422">
    <w:abstractNumId w:val="3"/>
  </w:num>
  <w:num w:numId="10" w16cid:durableId="18986655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B8"/>
    <w:rsid w:val="000144D9"/>
    <w:rsid w:val="000147E7"/>
    <w:rsid w:val="00016430"/>
    <w:rsid w:val="0002402C"/>
    <w:rsid w:val="00025BBC"/>
    <w:rsid w:val="00026BD4"/>
    <w:rsid w:val="000273A1"/>
    <w:rsid w:val="00031988"/>
    <w:rsid w:val="00037AD8"/>
    <w:rsid w:val="000410E7"/>
    <w:rsid w:val="000420B7"/>
    <w:rsid w:val="00046CB9"/>
    <w:rsid w:val="0005684E"/>
    <w:rsid w:val="000619FD"/>
    <w:rsid w:val="00066F92"/>
    <w:rsid w:val="00073E12"/>
    <w:rsid w:val="00084ACF"/>
    <w:rsid w:val="00090359"/>
    <w:rsid w:val="000908BA"/>
    <w:rsid w:val="000A0621"/>
    <w:rsid w:val="000A0722"/>
    <w:rsid w:val="000A46C0"/>
    <w:rsid w:val="000A69EE"/>
    <w:rsid w:val="000B0AC0"/>
    <w:rsid w:val="000B0B27"/>
    <w:rsid w:val="000B1BAD"/>
    <w:rsid w:val="000B4F08"/>
    <w:rsid w:val="000B671F"/>
    <w:rsid w:val="000C7158"/>
    <w:rsid w:val="000D3ED7"/>
    <w:rsid w:val="000F1828"/>
    <w:rsid w:val="000F3A89"/>
    <w:rsid w:val="000F47E0"/>
    <w:rsid w:val="000F60DD"/>
    <w:rsid w:val="000F6E41"/>
    <w:rsid w:val="0010033B"/>
    <w:rsid w:val="00100E44"/>
    <w:rsid w:val="0010133D"/>
    <w:rsid w:val="00101A58"/>
    <w:rsid w:val="00106ECB"/>
    <w:rsid w:val="0011576F"/>
    <w:rsid w:val="00124634"/>
    <w:rsid w:val="001308BE"/>
    <w:rsid w:val="00133AC2"/>
    <w:rsid w:val="00134EE3"/>
    <w:rsid w:val="0013564C"/>
    <w:rsid w:val="00136C24"/>
    <w:rsid w:val="00137CEC"/>
    <w:rsid w:val="00150442"/>
    <w:rsid w:val="001509A4"/>
    <w:rsid w:val="001511AF"/>
    <w:rsid w:val="00157503"/>
    <w:rsid w:val="00163E4D"/>
    <w:rsid w:val="00165ED9"/>
    <w:rsid w:val="00166D7D"/>
    <w:rsid w:val="00175F6D"/>
    <w:rsid w:val="001952C5"/>
    <w:rsid w:val="001A1C0A"/>
    <w:rsid w:val="001B7B51"/>
    <w:rsid w:val="001C194C"/>
    <w:rsid w:val="001D40A3"/>
    <w:rsid w:val="001E2C09"/>
    <w:rsid w:val="001E4E8F"/>
    <w:rsid w:val="001F29F0"/>
    <w:rsid w:val="0020004F"/>
    <w:rsid w:val="00201025"/>
    <w:rsid w:val="00212CFB"/>
    <w:rsid w:val="00217A23"/>
    <w:rsid w:val="00223A9E"/>
    <w:rsid w:val="00233FE3"/>
    <w:rsid w:val="00234421"/>
    <w:rsid w:val="002418F0"/>
    <w:rsid w:val="00242EAF"/>
    <w:rsid w:val="00246136"/>
    <w:rsid w:val="00250950"/>
    <w:rsid w:val="00250A03"/>
    <w:rsid w:val="00252F91"/>
    <w:rsid w:val="00256BD0"/>
    <w:rsid w:val="00264583"/>
    <w:rsid w:val="00265F66"/>
    <w:rsid w:val="00266D42"/>
    <w:rsid w:val="00272F1C"/>
    <w:rsid w:val="002742A2"/>
    <w:rsid w:val="002815AD"/>
    <w:rsid w:val="00283F4A"/>
    <w:rsid w:val="002870BD"/>
    <w:rsid w:val="002878C5"/>
    <w:rsid w:val="002B0219"/>
    <w:rsid w:val="002C1413"/>
    <w:rsid w:val="002C1A6F"/>
    <w:rsid w:val="002C7C9D"/>
    <w:rsid w:val="002D0E4A"/>
    <w:rsid w:val="002D233B"/>
    <w:rsid w:val="002D7FBD"/>
    <w:rsid w:val="002D7FD5"/>
    <w:rsid w:val="002E411F"/>
    <w:rsid w:val="002E6678"/>
    <w:rsid w:val="002F17F0"/>
    <w:rsid w:val="002F5660"/>
    <w:rsid w:val="002F6103"/>
    <w:rsid w:val="00302265"/>
    <w:rsid w:val="00304952"/>
    <w:rsid w:val="00304F7C"/>
    <w:rsid w:val="0030738B"/>
    <w:rsid w:val="00314180"/>
    <w:rsid w:val="0031458A"/>
    <w:rsid w:val="0033229D"/>
    <w:rsid w:val="00332335"/>
    <w:rsid w:val="003543C7"/>
    <w:rsid w:val="00356DB9"/>
    <w:rsid w:val="003572D4"/>
    <w:rsid w:val="00360559"/>
    <w:rsid w:val="00362023"/>
    <w:rsid w:val="0037199C"/>
    <w:rsid w:val="00374FAF"/>
    <w:rsid w:val="00375D94"/>
    <w:rsid w:val="0037693D"/>
    <w:rsid w:val="00385F4F"/>
    <w:rsid w:val="00386A2B"/>
    <w:rsid w:val="00394EAC"/>
    <w:rsid w:val="00396C55"/>
    <w:rsid w:val="003A1EC8"/>
    <w:rsid w:val="003A35D4"/>
    <w:rsid w:val="003A3D04"/>
    <w:rsid w:val="003A4904"/>
    <w:rsid w:val="003A72E1"/>
    <w:rsid w:val="003B099F"/>
    <w:rsid w:val="003B2E40"/>
    <w:rsid w:val="003D2137"/>
    <w:rsid w:val="003D3731"/>
    <w:rsid w:val="003F10FE"/>
    <w:rsid w:val="003F2AD3"/>
    <w:rsid w:val="003F48FB"/>
    <w:rsid w:val="003F7B51"/>
    <w:rsid w:val="004004EB"/>
    <w:rsid w:val="00426F55"/>
    <w:rsid w:val="0043026F"/>
    <w:rsid w:val="00431A1C"/>
    <w:rsid w:val="0043462B"/>
    <w:rsid w:val="00434F6C"/>
    <w:rsid w:val="0043769F"/>
    <w:rsid w:val="00443A0C"/>
    <w:rsid w:val="0045198B"/>
    <w:rsid w:val="00451E8E"/>
    <w:rsid w:val="0045562E"/>
    <w:rsid w:val="00460E48"/>
    <w:rsid w:val="00463471"/>
    <w:rsid w:val="00466F77"/>
    <w:rsid w:val="00467598"/>
    <w:rsid w:val="0046787D"/>
    <w:rsid w:val="00467A49"/>
    <w:rsid w:val="0047540E"/>
    <w:rsid w:val="00476D64"/>
    <w:rsid w:val="0048011A"/>
    <w:rsid w:val="0048070E"/>
    <w:rsid w:val="004810EB"/>
    <w:rsid w:val="0048766D"/>
    <w:rsid w:val="004972DF"/>
    <w:rsid w:val="004A0B83"/>
    <w:rsid w:val="004A5691"/>
    <w:rsid w:val="004B550B"/>
    <w:rsid w:val="004C4163"/>
    <w:rsid w:val="004C57BC"/>
    <w:rsid w:val="004C7A3F"/>
    <w:rsid w:val="004D510E"/>
    <w:rsid w:val="004D7E38"/>
    <w:rsid w:val="004E7929"/>
    <w:rsid w:val="004F14AD"/>
    <w:rsid w:val="004F3E91"/>
    <w:rsid w:val="004F5C4E"/>
    <w:rsid w:val="004F64A5"/>
    <w:rsid w:val="00501B73"/>
    <w:rsid w:val="005022C8"/>
    <w:rsid w:val="005075A7"/>
    <w:rsid w:val="00520CDA"/>
    <w:rsid w:val="005306FE"/>
    <w:rsid w:val="00543BDC"/>
    <w:rsid w:val="005442C4"/>
    <w:rsid w:val="00563792"/>
    <w:rsid w:val="00570240"/>
    <w:rsid w:val="0057595B"/>
    <w:rsid w:val="005775BC"/>
    <w:rsid w:val="00582EC8"/>
    <w:rsid w:val="005832E8"/>
    <w:rsid w:val="005900E1"/>
    <w:rsid w:val="00591977"/>
    <w:rsid w:val="00594428"/>
    <w:rsid w:val="00595516"/>
    <w:rsid w:val="00595A41"/>
    <w:rsid w:val="005966A5"/>
    <w:rsid w:val="005976A3"/>
    <w:rsid w:val="005A015A"/>
    <w:rsid w:val="005A1CBF"/>
    <w:rsid w:val="005A4B4C"/>
    <w:rsid w:val="005B309B"/>
    <w:rsid w:val="005B324C"/>
    <w:rsid w:val="005B5C6A"/>
    <w:rsid w:val="005B7E19"/>
    <w:rsid w:val="005C1CC3"/>
    <w:rsid w:val="005C46A9"/>
    <w:rsid w:val="005C4A3E"/>
    <w:rsid w:val="005C61F0"/>
    <w:rsid w:val="005D1BAE"/>
    <w:rsid w:val="005D33BA"/>
    <w:rsid w:val="005D5A0A"/>
    <w:rsid w:val="005E1D7F"/>
    <w:rsid w:val="005E1DD9"/>
    <w:rsid w:val="005E40BA"/>
    <w:rsid w:val="005F29E4"/>
    <w:rsid w:val="005F40F9"/>
    <w:rsid w:val="0060611C"/>
    <w:rsid w:val="00610966"/>
    <w:rsid w:val="00614724"/>
    <w:rsid w:val="00615C20"/>
    <w:rsid w:val="00617070"/>
    <w:rsid w:val="00620529"/>
    <w:rsid w:val="006239F6"/>
    <w:rsid w:val="006267E9"/>
    <w:rsid w:val="00626C44"/>
    <w:rsid w:val="00635AFD"/>
    <w:rsid w:val="00636AB7"/>
    <w:rsid w:val="00640CF8"/>
    <w:rsid w:val="006421A6"/>
    <w:rsid w:val="0064384D"/>
    <w:rsid w:val="00647ED6"/>
    <w:rsid w:val="00654510"/>
    <w:rsid w:val="00657B04"/>
    <w:rsid w:val="00661493"/>
    <w:rsid w:val="00666338"/>
    <w:rsid w:val="00666B1B"/>
    <w:rsid w:val="0067046C"/>
    <w:rsid w:val="0067101A"/>
    <w:rsid w:val="006846E9"/>
    <w:rsid w:val="00685E08"/>
    <w:rsid w:val="006B29F7"/>
    <w:rsid w:val="006D299B"/>
    <w:rsid w:val="006D5C5C"/>
    <w:rsid w:val="006E5064"/>
    <w:rsid w:val="006F199F"/>
    <w:rsid w:val="006F6CC1"/>
    <w:rsid w:val="00706249"/>
    <w:rsid w:val="00706989"/>
    <w:rsid w:val="00707B09"/>
    <w:rsid w:val="00707DF3"/>
    <w:rsid w:val="00721FB3"/>
    <w:rsid w:val="007272FD"/>
    <w:rsid w:val="007348E7"/>
    <w:rsid w:val="00735D8E"/>
    <w:rsid w:val="00740D37"/>
    <w:rsid w:val="00745FD5"/>
    <w:rsid w:val="00746630"/>
    <w:rsid w:val="00750697"/>
    <w:rsid w:val="00760C06"/>
    <w:rsid w:val="0076418F"/>
    <w:rsid w:val="00786BA8"/>
    <w:rsid w:val="00791614"/>
    <w:rsid w:val="00791FF4"/>
    <w:rsid w:val="007946B7"/>
    <w:rsid w:val="007A6E3C"/>
    <w:rsid w:val="007B05F6"/>
    <w:rsid w:val="007B4CA6"/>
    <w:rsid w:val="007C712C"/>
    <w:rsid w:val="007D10F0"/>
    <w:rsid w:val="007D13FE"/>
    <w:rsid w:val="007D47F4"/>
    <w:rsid w:val="007D53D9"/>
    <w:rsid w:val="007E16E2"/>
    <w:rsid w:val="007E2CF9"/>
    <w:rsid w:val="007E5A5D"/>
    <w:rsid w:val="007E5E85"/>
    <w:rsid w:val="007F245A"/>
    <w:rsid w:val="008029CB"/>
    <w:rsid w:val="00802B48"/>
    <w:rsid w:val="00802C9A"/>
    <w:rsid w:val="00810594"/>
    <w:rsid w:val="00811BFA"/>
    <w:rsid w:val="00825A87"/>
    <w:rsid w:val="00826C7E"/>
    <w:rsid w:val="00827A52"/>
    <w:rsid w:val="00831DA8"/>
    <w:rsid w:val="008329A0"/>
    <w:rsid w:val="0083717F"/>
    <w:rsid w:val="0083745D"/>
    <w:rsid w:val="008409B1"/>
    <w:rsid w:val="00844FFE"/>
    <w:rsid w:val="00864E46"/>
    <w:rsid w:val="00866D69"/>
    <w:rsid w:val="00870AE4"/>
    <w:rsid w:val="00871F00"/>
    <w:rsid w:val="0087570E"/>
    <w:rsid w:val="008767BA"/>
    <w:rsid w:val="008806E7"/>
    <w:rsid w:val="00894671"/>
    <w:rsid w:val="008A1B0F"/>
    <w:rsid w:val="008A5801"/>
    <w:rsid w:val="008A6663"/>
    <w:rsid w:val="008A692C"/>
    <w:rsid w:val="008B687F"/>
    <w:rsid w:val="008C3704"/>
    <w:rsid w:val="008D28C1"/>
    <w:rsid w:val="008D4AB6"/>
    <w:rsid w:val="008D7340"/>
    <w:rsid w:val="008E2747"/>
    <w:rsid w:val="008E3650"/>
    <w:rsid w:val="008F7766"/>
    <w:rsid w:val="00903053"/>
    <w:rsid w:val="00906E62"/>
    <w:rsid w:val="0091794E"/>
    <w:rsid w:val="00922AA4"/>
    <w:rsid w:val="009240A0"/>
    <w:rsid w:val="009267AF"/>
    <w:rsid w:val="0092704D"/>
    <w:rsid w:val="0093373F"/>
    <w:rsid w:val="00945C6F"/>
    <w:rsid w:val="009509FB"/>
    <w:rsid w:val="009579DD"/>
    <w:rsid w:val="00964DC8"/>
    <w:rsid w:val="00970995"/>
    <w:rsid w:val="00971FFB"/>
    <w:rsid w:val="0097237D"/>
    <w:rsid w:val="009762E5"/>
    <w:rsid w:val="00982785"/>
    <w:rsid w:val="00992EB3"/>
    <w:rsid w:val="00994127"/>
    <w:rsid w:val="009A0435"/>
    <w:rsid w:val="009A2634"/>
    <w:rsid w:val="009B0F0A"/>
    <w:rsid w:val="009B1A77"/>
    <w:rsid w:val="009B32F4"/>
    <w:rsid w:val="009B4A95"/>
    <w:rsid w:val="009B66CE"/>
    <w:rsid w:val="009B7DF8"/>
    <w:rsid w:val="009C1070"/>
    <w:rsid w:val="009C1C21"/>
    <w:rsid w:val="009C62E0"/>
    <w:rsid w:val="009D04E0"/>
    <w:rsid w:val="009D1940"/>
    <w:rsid w:val="009D5C60"/>
    <w:rsid w:val="009D694E"/>
    <w:rsid w:val="009E5601"/>
    <w:rsid w:val="009F0A8E"/>
    <w:rsid w:val="009F209A"/>
    <w:rsid w:val="009F57B3"/>
    <w:rsid w:val="009F760A"/>
    <w:rsid w:val="009F78FF"/>
    <w:rsid w:val="00A043BD"/>
    <w:rsid w:val="00A10B4F"/>
    <w:rsid w:val="00A21B8B"/>
    <w:rsid w:val="00A248A2"/>
    <w:rsid w:val="00A257F6"/>
    <w:rsid w:val="00A26A42"/>
    <w:rsid w:val="00A31D0E"/>
    <w:rsid w:val="00A31D19"/>
    <w:rsid w:val="00A35EEE"/>
    <w:rsid w:val="00A85552"/>
    <w:rsid w:val="00A9632C"/>
    <w:rsid w:val="00A977AA"/>
    <w:rsid w:val="00AA0070"/>
    <w:rsid w:val="00AA0623"/>
    <w:rsid w:val="00AA0966"/>
    <w:rsid w:val="00AA287C"/>
    <w:rsid w:val="00AA7FD4"/>
    <w:rsid w:val="00AB12B5"/>
    <w:rsid w:val="00AB6F6F"/>
    <w:rsid w:val="00AC57AB"/>
    <w:rsid w:val="00AD2963"/>
    <w:rsid w:val="00AD4708"/>
    <w:rsid w:val="00AD5E2F"/>
    <w:rsid w:val="00AE0652"/>
    <w:rsid w:val="00AF069E"/>
    <w:rsid w:val="00AF190E"/>
    <w:rsid w:val="00B03D6A"/>
    <w:rsid w:val="00B04222"/>
    <w:rsid w:val="00B0678B"/>
    <w:rsid w:val="00B070E4"/>
    <w:rsid w:val="00B113C5"/>
    <w:rsid w:val="00B1375B"/>
    <w:rsid w:val="00B225DD"/>
    <w:rsid w:val="00B313F3"/>
    <w:rsid w:val="00B42288"/>
    <w:rsid w:val="00B42C45"/>
    <w:rsid w:val="00B43DC4"/>
    <w:rsid w:val="00B45019"/>
    <w:rsid w:val="00B453F0"/>
    <w:rsid w:val="00B52BAD"/>
    <w:rsid w:val="00B55B7A"/>
    <w:rsid w:val="00B60C5F"/>
    <w:rsid w:val="00B67484"/>
    <w:rsid w:val="00B7099F"/>
    <w:rsid w:val="00B85316"/>
    <w:rsid w:val="00B919DF"/>
    <w:rsid w:val="00BB4C15"/>
    <w:rsid w:val="00BC3FAC"/>
    <w:rsid w:val="00BC6197"/>
    <w:rsid w:val="00BC6556"/>
    <w:rsid w:val="00BD0118"/>
    <w:rsid w:val="00BD2B40"/>
    <w:rsid w:val="00BD7728"/>
    <w:rsid w:val="00BE197D"/>
    <w:rsid w:val="00BE3124"/>
    <w:rsid w:val="00BF1522"/>
    <w:rsid w:val="00BF1685"/>
    <w:rsid w:val="00BF78EC"/>
    <w:rsid w:val="00BF7E90"/>
    <w:rsid w:val="00C057A0"/>
    <w:rsid w:val="00C063B6"/>
    <w:rsid w:val="00C07F53"/>
    <w:rsid w:val="00C12426"/>
    <w:rsid w:val="00C15C51"/>
    <w:rsid w:val="00C164AE"/>
    <w:rsid w:val="00C25762"/>
    <w:rsid w:val="00C35954"/>
    <w:rsid w:val="00C5195E"/>
    <w:rsid w:val="00C55415"/>
    <w:rsid w:val="00C5578F"/>
    <w:rsid w:val="00C57A6C"/>
    <w:rsid w:val="00C610F6"/>
    <w:rsid w:val="00C714B8"/>
    <w:rsid w:val="00C77DC9"/>
    <w:rsid w:val="00CA1E35"/>
    <w:rsid w:val="00CA2F0E"/>
    <w:rsid w:val="00CA3AC7"/>
    <w:rsid w:val="00CA6CBC"/>
    <w:rsid w:val="00CB26CA"/>
    <w:rsid w:val="00CB2FCD"/>
    <w:rsid w:val="00CB44D7"/>
    <w:rsid w:val="00CB5C1B"/>
    <w:rsid w:val="00CC09F4"/>
    <w:rsid w:val="00CC46F5"/>
    <w:rsid w:val="00CC54BF"/>
    <w:rsid w:val="00CE2C46"/>
    <w:rsid w:val="00CF1700"/>
    <w:rsid w:val="00CF34F6"/>
    <w:rsid w:val="00D0026F"/>
    <w:rsid w:val="00D02FA2"/>
    <w:rsid w:val="00D04916"/>
    <w:rsid w:val="00D114A7"/>
    <w:rsid w:val="00D122B4"/>
    <w:rsid w:val="00D15A33"/>
    <w:rsid w:val="00D21754"/>
    <w:rsid w:val="00D22286"/>
    <w:rsid w:val="00D26E28"/>
    <w:rsid w:val="00D30A46"/>
    <w:rsid w:val="00D3444D"/>
    <w:rsid w:val="00D37D0A"/>
    <w:rsid w:val="00D44A58"/>
    <w:rsid w:val="00D54D4C"/>
    <w:rsid w:val="00D551F6"/>
    <w:rsid w:val="00D60362"/>
    <w:rsid w:val="00D61679"/>
    <w:rsid w:val="00D74536"/>
    <w:rsid w:val="00D765D5"/>
    <w:rsid w:val="00D82BE0"/>
    <w:rsid w:val="00D8341A"/>
    <w:rsid w:val="00D9096D"/>
    <w:rsid w:val="00D95818"/>
    <w:rsid w:val="00DA7C9D"/>
    <w:rsid w:val="00DA7CDD"/>
    <w:rsid w:val="00DB1C00"/>
    <w:rsid w:val="00DB31F7"/>
    <w:rsid w:val="00DC1256"/>
    <w:rsid w:val="00DC6B87"/>
    <w:rsid w:val="00DD0AF7"/>
    <w:rsid w:val="00DD51ED"/>
    <w:rsid w:val="00DE4788"/>
    <w:rsid w:val="00DF228F"/>
    <w:rsid w:val="00E0121B"/>
    <w:rsid w:val="00E02A59"/>
    <w:rsid w:val="00E12250"/>
    <w:rsid w:val="00E14300"/>
    <w:rsid w:val="00E14AB3"/>
    <w:rsid w:val="00E17DBD"/>
    <w:rsid w:val="00E31D5B"/>
    <w:rsid w:val="00E42CF6"/>
    <w:rsid w:val="00E44680"/>
    <w:rsid w:val="00E53895"/>
    <w:rsid w:val="00E71ECA"/>
    <w:rsid w:val="00E7560D"/>
    <w:rsid w:val="00E76A8F"/>
    <w:rsid w:val="00E8023A"/>
    <w:rsid w:val="00E84557"/>
    <w:rsid w:val="00E93112"/>
    <w:rsid w:val="00E95E89"/>
    <w:rsid w:val="00EA2292"/>
    <w:rsid w:val="00EB40A4"/>
    <w:rsid w:val="00EB57AE"/>
    <w:rsid w:val="00EB5F34"/>
    <w:rsid w:val="00ED0887"/>
    <w:rsid w:val="00EE329A"/>
    <w:rsid w:val="00EF22BF"/>
    <w:rsid w:val="00EF6A34"/>
    <w:rsid w:val="00EF7CD0"/>
    <w:rsid w:val="00F01ADD"/>
    <w:rsid w:val="00F055AC"/>
    <w:rsid w:val="00F06155"/>
    <w:rsid w:val="00F0706C"/>
    <w:rsid w:val="00F120FA"/>
    <w:rsid w:val="00F25F47"/>
    <w:rsid w:val="00F2628B"/>
    <w:rsid w:val="00F274BF"/>
    <w:rsid w:val="00F32AE6"/>
    <w:rsid w:val="00F3462C"/>
    <w:rsid w:val="00F3471B"/>
    <w:rsid w:val="00F34F24"/>
    <w:rsid w:val="00F42F16"/>
    <w:rsid w:val="00F51565"/>
    <w:rsid w:val="00F62071"/>
    <w:rsid w:val="00F66327"/>
    <w:rsid w:val="00F70279"/>
    <w:rsid w:val="00F75910"/>
    <w:rsid w:val="00F80DD3"/>
    <w:rsid w:val="00F91924"/>
    <w:rsid w:val="00FA28AD"/>
    <w:rsid w:val="00FA46EA"/>
    <w:rsid w:val="00FB1C07"/>
    <w:rsid w:val="00FB5A9F"/>
    <w:rsid w:val="00FC62EC"/>
    <w:rsid w:val="00FE1790"/>
    <w:rsid w:val="00FE17C2"/>
    <w:rsid w:val="00FE1A91"/>
    <w:rsid w:val="00FE509F"/>
    <w:rsid w:val="00FE540C"/>
    <w:rsid w:val="00FE60D5"/>
    <w:rsid w:val="00FF1854"/>
    <w:rsid w:val="00FF393D"/>
    <w:rsid w:val="00FF57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749DC"/>
  <w15:docId w15:val="{ED9F97B3-437A-48F6-A7E1-3FE161CF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1F6"/>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qFormat/>
    <w:rsid w:val="00D551F6"/>
    <w:pPr>
      <w:keepNext/>
      <w:keepLines/>
      <w:spacing w:after="360"/>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51F6"/>
    <w:rPr>
      <w:rFonts w:ascii="Times New Roman" w:hAnsi="Times New Roman" w:cs="Times New Roman"/>
      <w:b/>
      <w:sz w:val="28"/>
      <w:szCs w:val="24"/>
    </w:rPr>
  </w:style>
  <w:style w:type="paragraph" w:styleId="ListParagraph">
    <w:name w:val="List Paragraph"/>
    <w:aliases w:val="Multilevel para_II,List Paragraph (numbered (a)),References,WB List Paragraph,Bullets,Liste 1,List Paragraph1,Medium Grid 1 - Accent 21,List Paragraph nowy,Numbered List Paragraph,ReferencesCxSpLast,123 List Paragraph,List_Paragraph,Dot p"/>
    <w:basedOn w:val="Normal"/>
    <w:link w:val="ListParagraphChar"/>
    <w:uiPriority w:val="34"/>
    <w:qFormat/>
    <w:rsid w:val="00D551F6"/>
    <w:pPr>
      <w:spacing w:after="200" w:line="276" w:lineRule="auto"/>
      <w:ind w:left="720"/>
    </w:pPr>
  </w:style>
  <w:style w:type="character" w:customStyle="1" w:styleId="ListParagraphChar">
    <w:name w:val="List Paragraph Char"/>
    <w:aliases w:val="Multilevel para_II Char,List Paragraph (numbered (a)) Char,References Char,WB List Paragraph Char,Bullets Char,Liste 1 Char,List Paragraph1 Char,Medium Grid 1 - Accent 21 Char,List Paragraph nowy Char,Numbered List Paragraph Char"/>
    <w:link w:val="ListParagraph"/>
    <w:uiPriority w:val="34"/>
    <w:qFormat/>
    <w:rsid w:val="00D551F6"/>
    <w:rPr>
      <w:rFonts w:ascii="Times New Roman" w:hAnsi="Times New Roman" w:cs="Times New Roman"/>
      <w:sz w:val="24"/>
      <w:szCs w:val="24"/>
    </w:rPr>
  </w:style>
  <w:style w:type="paragraph" w:styleId="Revision">
    <w:name w:val="Revision"/>
    <w:hidden/>
    <w:uiPriority w:val="99"/>
    <w:semiHidden/>
    <w:rsid w:val="006F6CC1"/>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B57AE"/>
    <w:rPr>
      <w:sz w:val="16"/>
      <w:szCs w:val="16"/>
    </w:rPr>
  </w:style>
  <w:style w:type="paragraph" w:styleId="CommentText">
    <w:name w:val="annotation text"/>
    <w:basedOn w:val="Normal"/>
    <w:link w:val="CommentTextChar"/>
    <w:uiPriority w:val="99"/>
    <w:unhideWhenUsed/>
    <w:rsid w:val="00EB57AE"/>
    <w:rPr>
      <w:sz w:val="20"/>
      <w:szCs w:val="20"/>
    </w:rPr>
  </w:style>
  <w:style w:type="character" w:customStyle="1" w:styleId="CommentTextChar">
    <w:name w:val="Comment Text Char"/>
    <w:basedOn w:val="DefaultParagraphFont"/>
    <w:link w:val="CommentText"/>
    <w:uiPriority w:val="99"/>
    <w:rsid w:val="00EB57A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57AE"/>
    <w:rPr>
      <w:b/>
      <w:bCs/>
    </w:rPr>
  </w:style>
  <w:style w:type="character" w:customStyle="1" w:styleId="CommentSubjectChar">
    <w:name w:val="Comment Subject Char"/>
    <w:basedOn w:val="CommentTextChar"/>
    <w:link w:val="CommentSubject"/>
    <w:uiPriority w:val="99"/>
    <w:semiHidden/>
    <w:rsid w:val="00EB57A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F06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69E"/>
    <w:rPr>
      <w:rFonts w:ascii="Segoe UI" w:hAnsi="Segoe UI" w:cs="Segoe UI"/>
      <w:sz w:val="18"/>
      <w:szCs w:val="18"/>
    </w:rPr>
  </w:style>
  <w:style w:type="paragraph" w:customStyle="1" w:styleId="Default">
    <w:name w:val="Default"/>
    <w:rsid w:val="00B60C5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B687F"/>
    <w:pPr>
      <w:tabs>
        <w:tab w:val="center" w:pos="4680"/>
        <w:tab w:val="right" w:pos="9360"/>
      </w:tabs>
    </w:pPr>
  </w:style>
  <w:style w:type="character" w:customStyle="1" w:styleId="HeaderChar">
    <w:name w:val="Header Char"/>
    <w:basedOn w:val="DefaultParagraphFont"/>
    <w:link w:val="Header"/>
    <w:uiPriority w:val="99"/>
    <w:rsid w:val="008B687F"/>
    <w:rPr>
      <w:rFonts w:ascii="Times New Roman" w:hAnsi="Times New Roman" w:cs="Times New Roman"/>
      <w:sz w:val="24"/>
      <w:szCs w:val="24"/>
    </w:rPr>
  </w:style>
  <w:style w:type="paragraph" w:styleId="Footer">
    <w:name w:val="footer"/>
    <w:basedOn w:val="Normal"/>
    <w:link w:val="FooterChar"/>
    <w:uiPriority w:val="99"/>
    <w:unhideWhenUsed/>
    <w:rsid w:val="008B687F"/>
    <w:pPr>
      <w:tabs>
        <w:tab w:val="center" w:pos="4680"/>
        <w:tab w:val="right" w:pos="9360"/>
      </w:tabs>
    </w:pPr>
  </w:style>
  <w:style w:type="character" w:customStyle="1" w:styleId="FooterChar">
    <w:name w:val="Footer Char"/>
    <w:basedOn w:val="DefaultParagraphFont"/>
    <w:link w:val="Footer"/>
    <w:uiPriority w:val="99"/>
    <w:rsid w:val="008B687F"/>
    <w:rPr>
      <w:rFonts w:ascii="Times New Roman" w:hAnsi="Times New Roman" w:cs="Times New Roman"/>
      <w:sz w:val="24"/>
      <w:szCs w:val="24"/>
    </w:rPr>
  </w:style>
  <w:style w:type="paragraph" w:customStyle="1" w:styleId="xmsolistparagraph">
    <w:name w:val="x_msolistparagraph"/>
    <w:basedOn w:val="Normal"/>
    <w:rsid w:val="002F17F0"/>
    <w:pPr>
      <w:spacing w:before="100" w:beforeAutospacing="1" w:after="100" w:afterAutospacing="1"/>
    </w:pPr>
    <w:rPr>
      <w:rFonts w:eastAsia="Times New Roman"/>
    </w:rPr>
  </w:style>
  <w:style w:type="paragraph" w:styleId="BodyTextIndent">
    <w:name w:val="Body Text Indent"/>
    <w:basedOn w:val="Normal"/>
    <w:link w:val="BodyTextIndentChar"/>
    <w:rsid w:val="00750697"/>
    <w:pPr>
      <w:ind w:left="720"/>
      <w:jc w:val="both"/>
    </w:pPr>
    <w:rPr>
      <w:rFonts w:ascii="Bookman Old Style" w:eastAsia="Times New Roman" w:hAnsi="Bookman Old Style"/>
      <w:szCs w:val="20"/>
    </w:rPr>
  </w:style>
  <w:style w:type="character" w:customStyle="1" w:styleId="BodyTextIndentChar">
    <w:name w:val="Body Text Indent Char"/>
    <w:basedOn w:val="DefaultParagraphFont"/>
    <w:link w:val="BodyTextIndent"/>
    <w:rsid w:val="00750697"/>
    <w:rPr>
      <w:rFonts w:ascii="Bookman Old Style" w:eastAsia="Times New Roman" w:hAnsi="Bookman Old Styl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8097">
      <w:bodyDiv w:val="1"/>
      <w:marLeft w:val="0"/>
      <w:marRight w:val="0"/>
      <w:marTop w:val="0"/>
      <w:marBottom w:val="0"/>
      <w:divBdr>
        <w:top w:val="none" w:sz="0" w:space="0" w:color="auto"/>
        <w:left w:val="none" w:sz="0" w:space="0" w:color="auto"/>
        <w:bottom w:val="none" w:sz="0" w:space="0" w:color="auto"/>
        <w:right w:val="none" w:sz="0" w:space="0" w:color="auto"/>
      </w:divBdr>
    </w:div>
    <w:div w:id="546720574">
      <w:bodyDiv w:val="1"/>
      <w:marLeft w:val="0"/>
      <w:marRight w:val="0"/>
      <w:marTop w:val="0"/>
      <w:marBottom w:val="0"/>
      <w:divBdr>
        <w:top w:val="none" w:sz="0" w:space="0" w:color="auto"/>
        <w:left w:val="none" w:sz="0" w:space="0" w:color="auto"/>
        <w:bottom w:val="none" w:sz="0" w:space="0" w:color="auto"/>
        <w:right w:val="none" w:sz="0" w:space="0" w:color="auto"/>
      </w:divBdr>
    </w:div>
    <w:div w:id="589659556">
      <w:bodyDiv w:val="1"/>
      <w:marLeft w:val="0"/>
      <w:marRight w:val="0"/>
      <w:marTop w:val="0"/>
      <w:marBottom w:val="0"/>
      <w:divBdr>
        <w:top w:val="none" w:sz="0" w:space="0" w:color="auto"/>
        <w:left w:val="none" w:sz="0" w:space="0" w:color="auto"/>
        <w:bottom w:val="none" w:sz="0" w:space="0" w:color="auto"/>
        <w:right w:val="none" w:sz="0" w:space="0" w:color="auto"/>
      </w:divBdr>
    </w:div>
    <w:div w:id="596057153">
      <w:bodyDiv w:val="1"/>
      <w:marLeft w:val="0"/>
      <w:marRight w:val="0"/>
      <w:marTop w:val="0"/>
      <w:marBottom w:val="0"/>
      <w:divBdr>
        <w:top w:val="none" w:sz="0" w:space="0" w:color="auto"/>
        <w:left w:val="none" w:sz="0" w:space="0" w:color="auto"/>
        <w:bottom w:val="none" w:sz="0" w:space="0" w:color="auto"/>
        <w:right w:val="none" w:sz="0" w:space="0" w:color="auto"/>
      </w:divBdr>
    </w:div>
    <w:div w:id="665671877">
      <w:bodyDiv w:val="1"/>
      <w:marLeft w:val="0"/>
      <w:marRight w:val="0"/>
      <w:marTop w:val="0"/>
      <w:marBottom w:val="0"/>
      <w:divBdr>
        <w:top w:val="none" w:sz="0" w:space="0" w:color="auto"/>
        <w:left w:val="none" w:sz="0" w:space="0" w:color="auto"/>
        <w:bottom w:val="none" w:sz="0" w:space="0" w:color="auto"/>
        <w:right w:val="none" w:sz="0" w:space="0" w:color="auto"/>
      </w:divBdr>
    </w:div>
    <w:div w:id="17021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5B287-7C1C-491F-9FBF-684A9C577AF7}">
  <ds:schemaRefs>
    <ds:schemaRef ds:uri="http://schemas.openxmlformats.org/officeDocument/2006/bibliography"/>
  </ds:schemaRefs>
</ds:datastoreItem>
</file>

<file path=customXml/itemProps2.xml><?xml version="1.0" encoding="utf-8"?>
<ds:datastoreItem xmlns:ds="http://schemas.openxmlformats.org/officeDocument/2006/customXml" ds:itemID="{33243814-469F-42A1-B072-6C85F408D068}">
  <ds:schemaRefs>
    <ds:schemaRef ds:uri="http://schemas.microsoft.com/sharepoint/v3/contenttype/forms"/>
  </ds:schemaRefs>
</ds:datastoreItem>
</file>

<file path=customXml/itemProps3.xml><?xml version="1.0" encoding="utf-8"?>
<ds:datastoreItem xmlns:ds="http://schemas.openxmlformats.org/officeDocument/2006/customXml" ds:itemID="{1344E934-67D8-4F63-8802-EE46911AF599}">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E8B286F7-3D32-4B12-967D-6685AA01E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Liban Ibrahim</cp:lastModifiedBy>
  <cp:revision>6</cp:revision>
  <dcterms:created xsi:type="dcterms:W3CDTF">2024-08-12T19:07:00Z</dcterms:created>
  <dcterms:modified xsi:type="dcterms:W3CDTF">2024-08-13T11:23:00Z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3cf72c6ec5f677cf59c5735075843e2b1d0708cd4ff6793db4a8aff5960cda08</vt:lpwstr>
  </property>
  <property fmtid="{D5CDD505-2E9C-101B-9397-08002B2CF9AE}" pid="3" name="ContentTypeId">
    <vt:lpwstr>0x01010022D807DA5079DD4F8FC962D9402EEFD8</vt:lpwstr>
  </property>
</Properties>
</file>